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879E" w14:textId="77777777" w:rsidR="001E4ADB" w:rsidRPr="00B6099B" w:rsidRDefault="001E4ADB" w:rsidP="001E4ADB">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Before the</w:t>
      </w:r>
    </w:p>
    <w:p w14:paraId="63DBA604" w14:textId="77777777" w:rsidR="001E4ADB" w:rsidRPr="00B6099B" w:rsidRDefault="001E4ADB" w:rsidP="001E4ADB">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Federal Communications Commission</w:t>
      </w:r>
    </w:p>
    <w:p w14:paraId="7C7CDDB0" w14:textId="77777777" w:rsidR="001E4ADB" w:rsidRDefault="001E4ADB" w:rsidP="001E4ADB">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Washington, DC 20554</w:t>
      </w:r>
    </w:p>
    <w:p w14:paraId="5D519AE7" w14:textId="77777777" w:rsidR="001E4ADB" w:rsidRDefault="001E4ADB" w:rsidP="001E4ADB">
      <w:pPr>
        <w:spacing w:line="240" w:lineRule="auto"/>
        <w:rPr>
          <w:rFonts w:ascii="Times New Roman" w:hAnsi="Times New Roman" w:cs="Times New Roman"/>
          <w:sz w:val="24"/>
          <w:szCs w:val="24"/>
        </w:rPr>
      </w:pPr>
    </w:p>
    <w:p w14:paraId="1EB07466"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In the Matter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6E36C8"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9388CAC"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Unlicensed Use of the 6 GHz Band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ET Docket No. 18-295</w:t>
      </w:r>
    </w:p>
    <w:p w14:paraId="59795941"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620A5A"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Expanding Flexible Use in Mid-Band Spectrum</w:t>
      </w:r>
      <w:r>
        <w:rPr>
          <w:rFonts w:ascii="Times New Roman" w:hAnsi="Times New Roman" w:cs="Times New Roman"/>
          <w:sz w:val="24"/>
          <w:szCs w:val="24"/>
        </w:rPr>
        <w:tab/>
        <w:t>)</w:t>
      </w:r>
      <w:r>
        <w:rPr>
          <w:rFonts w:ascii="Times New Roman" w:hAnsi="Times New Roman" w:cs="Times New Roman"/>
          <w:sz w:val="24"/>
          <w:szCs w:val="24"/>
        </w:rPr>
        <w:tab/>
        <w:t>GN Docket No. 17-183</w:t>
      </w:r>
    </w:p>
    <w:p w14:paraId="0F33DC37"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Between 3.7 and 24 GHz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93E253" w14:textId="77777777" w:rsidR="001E4ADB" w:rsidRDefault="001E4ADB" w:rsidP="001E4ADB">
      <w:pPr>
        <w:spacing w:line="240" w:lineRule="auto"/>
        <w:rPr>
          <w:rFonts w:ascii="Times New Roman" w:hAnsi="Times New Roman" w:cs="Times New Roman"/>
          <w:sz w:val="24"/>
          <w:szCs w:val="24"/>
        </w:rPr>
      </w:pPr>
    </w:p>
    <w:p w14:paraId="6B5E7AC4" w14:textId="77777777" w:rsid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The Commission</w:t>
      </w:r>
    </w:p>
    <w:p w14:paraId="01F9D7CB" w14:textId="77777777" w:rsidR="001E4ADB" w:rsidRDefault="001E4ADB" w:rsidP="001E4ADB">
      <w:pPr>
        <w:spacing w:line="240" w:lineRule="auto"/>
        <w:rPr>
          <w:rFonts w:ascii="Times New Roman" w:hAnsi="Times New Roman" w:cs="Times New Roman"/>
          <w:sz w:val="24"/>
          <w:szCs w:val="24"/>
        </w:rPr>
      </w:pPr>
    </w:p>
    <w:p w14:paraId="5E64A036" w14:textId="77777777" w:rsidR="001E4ADB" w:rsidRDefault="001E4ADB" w:rsidP="001E4ADB">
      <w:pPr>
        <w:spacing w:line="240" w:lineRule="auto"/>
        <w:rPr>
          <w:rFonts w:ascii="Times New Roman" w:hAnsi="Times New Roman" w:cs="Times New Roman"/>
          <w:sz w:val="24"/>
          <w:szCs w:val="24"/>
        </w:rPr>
      </w:pPr>
    </w:p>
    <w:p w14:paraId="2298B1A2" w14:textId="77777777" w:rsidR="001E4ADB" w:rsidRDefault="001E4ADB" w:rsidP="001E4ADB">
      <w:pPr>
        <w:spacing w:line="240" w:lineRule="auto"/>
        <w:rPr>
          <w:rFonts w:ascii="Times New Roman" w:hAnsi="Times New Roman" w:cs="Times New Roman"/>
          <w:sz w:val="24"/>
          <w:szCs w:val="24"/>
        </w:rPr>
      </w:pPr>
    </w:p>
    <w:p w14:paraId="56E35437" w14:textId="77777777" w:rsidR="001E4ADB" w:rsidRPr="00B6099B" w:rsidRDefault="001E4ADB" w:rsidP="001E4ADB">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COMMENTS OF</w:t>
      </w:r>
    </w:p>
    <w:p w14:paraId="72AF35B6" w14:textId="6A229CF1" w:rsidR="001E4ADB" w:rsidRDefault="001E4ADB" w:rsidP="001E4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PUBLIC INTEREST SPECTRUM COALITION</w:t>
      </w:r>
    </w:p>
    <w:p w14:paraId="4CEBB705" w14:textId="77777777" w:rsidR="001E4ADB" w:rsidRDefault="001E4ADB" w:rsidP="001E4ADB">
      <w:pPr>
        <w:spacing w:line="240" w:lineRule="auto"/>
        <w:jc w:val="center"/>
        <w:rPr>
          <w:rFonts w:ascii="Times New Roman" w:hAnsi="Times New Roman" w:cs="Times New Roman"/>
          <w:b/>
          <w:sz w:val="24"/>
          <w:szCs w:val="24"/>
        </w:rPr>
      </w:pPr>
    </w:p>
    <w:p w14:paraId="09D9231F" w14:textId="77777777" w:rsidR="001E4ADB" w:rsidRDefault="001E4ADB" w:rsidP="001E4ADB">
      <w:pPr>
        <w:spacing w:line="240" w:lineRule="auto"/>
        <w:jc w:val="center"/>
        <w:rPr>
          <w:rFonts w:ascii="Times New Roman" w:hAnsi="Times New Roman" w:cs="Times New Roman"/>
          <w:b/>
          <w:sz w:val="24"/>
          <w:szCs w:val="24"/>
        </w:rPr>
      </w:pPr>
    </w:p>
    <w:p w14:paraId="6A2509BE" w14:textId="77777777" w:rsidR="001E4ADB" w:rsidRDefault="001E4ADB" w:rsidP="001E4ADB">
      <w:pPr>
        <w:spacing w:line="240" w:lineRule="auto"/>
        <w:jc w:val="center"/>
        <w:rPr>
          <w:rFonts w:ascii="Times New Roman" w:hAnsi="Times New Roman" w:cs="Times New Roman"/>
          <w:b/>
          <w:sz w:val="24"/>
          <w:szCs w:val="24"/>
        </w:rPr>
      </w:pPr>
    </w:p>
    <w:p w14:paraId="29F3A1AE" w14:textId="77777777" w:rsidR="001E4ADB" w:rsidRDefault="001E4ADB" w:rsidP="001E4ADB">
      <w:pPr>
        <w:spacing w:line="240" w:lineRule="auto"/>
        <w:jc w:val="center"/>
        <w:rPr>
          <w:rFonts w:ascii="Times New Roman" w:hAnsi="Times New Roman" w:cs="Times New Roman"/>
          <w:b/>
          <w:sz w:val="24"/>
          <w:szCs w:val="24"/>
        </w:rPr>
      </w:pPr>
    </w:p>
    <w:p w14:paraId="028E5A05" w14:textId="77777777" w:rsidR="001E4ADB" w:rsidRDefault="001E4ADB" w:rsidP="001E4ADB">
      <w:pPr>
        <w:spacing w:line="240" w:lineRule="auto"/>
        <w:jc w:val="center"/>
        <w:rPr>
          <w:rFonts w:ascii="Times New Roman" w:hAnsi="Times New Roman" w:cs="Times New Roman"/>
          <w:b/>
          <w:sz w:val="24"/>
          <w:szCs w:val="24"/>
        </w:rPr>
      </w:pPr>
    </w:p>
    <w:p w14:paraId="2A202212" w14:textId="77777777" w:rsidR="001E4ADB" w:rsidRDefault="001E4ADB" w:rsidP="001E4ADB">
      <w:pPr>
        <w:spacing w:line="240" w:lineRule="auto"/>
        <w:jc w:val="center"/>
        <w:rPr>
          <w:rFonts w:ascii="Times New Roman" w:hAnsi="Times New Roman" w:cs="Times New Roman"/>
          <w:b/>
          <w:sz w:val="24"/>
          <w:szCs w:val="24"/>
        </w:rPr>
      </w:pPr>
    </w:p>
    <w:p w14:paraId="2DC7E57C" w14:textId="77777777" w:rsidR="001E4ADB" w:rsidRDefault="001E4ADB" w:rsidP="001E4ADB">
      <w:pPr>
        <w:spacing w:line="240" w:lineRule="auto"/>
        <w:jc w:val="center"/>
        <w:rPr>
          <w:rFonts w:ascii="Times New Roman" w:hAnsi="Times New Roman" w:cs="Times New Roman"/>
          <w:b/>
          <w:sz w:val="24"/>
          <w:szCs w:val="24"/>
        </w:rPr>
      </w:pPr>
    </w:p>
    <w:p w14:paraId="68BB8176" w14:textId="77777777" w:rsidR="001E4ADB" w:rsidRDefault="001E4ADB" w:rsidP="001E4ADB">
      <w:pPr>
        <w:spacing w:line="240" w:lineRule="auto"/>
        <w:jc w:val="center"/>
        <w:rPr>
          <w:rFonts w:ascii="Times New Roman" w:hAnsi="Times New Roman" w:cs="Times New Roman"/>
          <w:b/>
          <w:sz w:val="24"/>
          <w:szCs w:val="24"/>
        </w:rPr>
      </w:pPr>
    </w:p>
    <w:p w14:paraId="63B59AB6" w14:textId="77777777" w:rsidR="001E4ADB" w:rsidRDefault="001E4ADB" w:rsidP="001E4ADB">
      <w:pPr>
        <w:spacing w:line="240" w:lineRule="auto"/>
        <w:jc w:val="center"/>
        <w:rPr>
          <w:rFonts w:ascii="Times New Roman" w:hAnsi="Times New Roman" w:cs="Times New Roman"/>
          <w:b/>
          <w:sz w:val="24"/>
          <w:szCs w:val="24"/>
        </w:rPr>
      </w:pPr>
    </w:p>
    <w:p w14:paraId="48FD1674" w14:textId="77777777" w:rsidR="001E4ADB" w:rsidRDefault="001E4ADB" w:rsidP="001E4ADB">
      <w:pPr>
        <w:spacing w:line="240" w:lineRule="auto"/>
        <w:jc w:val="center"/>
        <w:rPr>
          <w:rFonts w:ascii="Times New Roman" w:hAnsi="Times New Roman" w:cs="Times New Roman"/>
          <w:b/>
          <w:sz w:val="24"/>
          <w:szCs w:val="24"/>
        </w:rPr>
      </w:pPr>
    </w:p>
    <w:p w14:paraId="30532DEB" w14:textId="77777777" w:rsidR="001E4ADB" w:rsidRDefault="001E4ADB" w:rsidP="001E4ADB">
      <w:pPr>
        <w:spacing w:line="240" w:lineRule="auto"/>
        <w:jc w:val="center"/>
        <w:rPr>
          <w:rFonts w:ascii="Times New Roman" w:hAnsi="Times New Roman" w:cs="Times New Roman"/>
          <w:b/>
          <w:sz w:val="24"/>
          <w:szCs w:val="24"/>
        </w:rPr>
      </w:pPr>
    </w:p>
    <w:p w14:paraId="021558AE" w14:textId="77777777" w:rsidR="001E4ADB" w:rsidRDefault="001E4ADB" w:rsidP="001E4ADB">
      <w:pPr>
        <w:spacing w:line="240" w:lineRule="auto"/>
        <w:jc w:val="center"/>
        <w:rPr>
          <w:rFonts w:ascii="Times New Roman" w:hAnsi="Times New Roman" w:cs="Times New Roman"/>
          <w:b/>
          <w:sz w:val="24"/>
          <w:szCs w:val="24"/>
        </w:rPr>
      </w:pPr>
    </w:p>
    <w:p w14:paraId="07F7C98E" w14:textId="77777777" w:rsidR="001E4ADB" w:rsidRDefault="001E4ADB" w:rsidP="001E4ADB">
      <w:pPr>
        <w:spacing w:line="240" w:lineRule="auto"/>
        <w:jc w:val="center"/>
        <w:rPr>
          <w:rFonts w:ascii="Times New Roman" w:hAnsi="Times New Roman" w:cs="Times New Roman"/>
          <w:b/>
          <w:sz w:val="24"/>
          <w:szCs w:val="24"/>
        </w:rPr>
      </w:pPr>
    </w:p>
    <w:p w14:paraId="47FC04DC" w14:textId="77777777" w:rsidR="001E4ADB" w:rsidRDefault="001E4ADB" w:rsidP="001E4ADB">
      <w:pPr>
        <w:spacing w:line="240" w:lineRule="auto"/>
        <w:jc w:val="center"/>
        <w:rPr>
          <w:rFonts w:ascii="Times New Roman" w:hAnsi="Times New Roman" w:cs="Times New Roman"/>
          <w:b/>
          <w:sz w:val="24"/>
          <w:szCs w:val="24"/>
        </w:rPr>
      </w:pPr>
    </w:p>
    <w:p w14:paraId="2A534634" w14:textId="77777777" w:rsidR="001E4ADB" w:rsidRDefault="001E4ADB" w:rsidP="001E4ADB">
      <w:pPr>
        <w:spacing w:line="240" w:lineRule="auto"/>
        <w:jc w:val="center"/>
        <w:rPr>
          <w:rFonts w:ascii="Times New Roman" w:hAnsi="Times New Roman" w:cs="Times New Roman"/>
          <w:b/>
          <w:sz w:val="24"/>
          <w:szCs w:val="24"/>
        </w:rPr>
      </w:pPr>
    </w:p>
    <w:p w14:paraId="57B8FEB9" w14:textId="77777777" w:rsidR="001E4ADB" w:rsidRDefault="001E4ADB" w:rsidP="001E4ADB">
      <w:pPr>
        <w:spacing w:line="240" w:lineRule="auto"/>
        <w:jc w:val="center"/>
        <w:rPr>
          <w:rFonts w:ascii="Times New Roman" w:hAnsi="Times New Roman" w:cs="Times New Roman"/>
          <w:b/>
          <w:sz w:val="24"/>
          <w:szCs w:val="24"/>
        </w:rPr>
      </w:pPr>
    </w:p>
    <w:p w14:paraId="6F10E422" w14:textId="77777777" w:rsidR="001E4ADB" w:rsidRDefault="001E4ADB" w:rsidP="001E4ADB">
      <w:pPr>
        <w:spacing w:line="240" w:lineRule="auto"/>
        <w:jc w:val="center"/>
        <w:rPr>
          <w:rFonts w:ascii="Times New Roman" w:hAnsi="Times New Roman" w:cs="Times New Roman"/>
          <w:b/>
          <w:sz w:val="24"/>
          <w:szCs w:val="24"/>
        </w:rPr>
      </w:pPr>
    </w:p>
    <w:p w14:paraId="760CDFE3" w14:textId="77777777" w:rsidR="001E4ADB" w:rsidRDefault="001E4ADB" w:rsidP="001E4ADB">
      <w:pPr>
        <w:spacing w:line="240" w:lineRule="auto"/>
        <w:jc w:val="center"/>
        <w:rPr>
          <w:rFonts w:ascii="Times New Roman" w:hAnsi="Times New Roman" w:cs="Times New Roman"/>
          <w:b/>
          <w:sz w:val="24"/>
          <w:szCs w:val="24"/>
        </w:rPr>
      </w:pPr>
    </w:p>
    <w:p w14:paraId="66F60B43" w14:textId="77777777" w:rsidR="001E4ADB" w:rsidRDefault="001E4ADB" w:rsidP="001E4ADB">
      <w:pPr>
        <w:spacing w:line="240" w:lineRule="auto"/>
        <w:jc w:val="center"/>
        <w:rPr>
          <w:rFonts w:ascii="Times New Roman" w:hAnsi="Times New Roman" w:cs="Times New Roman"/>
          <w:b/>
          <w:sz w:val="24"/>
          <w:szCs w:val="24"/>
        </w:rPr>
      </w:pPr>
    </w:p>
    <w:p w14:paraId="081AF6AA" w14:textId="77777777" w:rsidR="001E4ADB" w:rsidRDefault="001E4ADB" w:rsidP="001E4ADB">
      <w:pPr>
        <w:spacing w:line="240" w:lineRule="auto"/>
        <w:jc w:val="center"/>
        <w:rPr>
          <w:rFonts w:ascii="Times New Roman" w:hAnsi="Times New Roman" w:cs="Times New Roman"/>
          <w:b/>
          <w:sz w:val="24"/>
          <w:szCs w:val="24"/>
        </w:rPr>
      </w:pPr>
    </w:p>
    <w:p w14:paraId="0D758BC3" w14:textId="77777777" w:rsidR="001E4ADB" w:rsidRDefault="001E4ADB" w:rsidP="001E4ADB">
      <w:pPr>
        <w:spacing w:line="240" w:lineRule="auto"/>
        <w:jc w:val="center"/>
        <w:rPr>
          <w:rFonts w:ascii="Times New Roman" w:hAnsi="Times New Roman" w:cs="Times New Roman"/>
          <w:b/>
          <w:sz w:val="24"/>
          <w:szCs w:val="24"/>
        </w:rPr>
      </w:pPr>
    </w:p>
    <w:p w14:paraId="717F6D90" w14:textId="77777777" w:rsidR="001E4ADB" w:rsidRDefault="001E4ADB" w:rsidP="001E4ADB">
      <w:pPr>
        <w:spacing w:line="240" w:lineRule="auto"/>
        <w:jc w:val="center"/>
        <w:rPr>
          <w:rFonts w:ascii="Times New Roman" w:hAnsi="Times New Roman" w:cs="Times New Roman"/>
          <w:b/>
          <w:sz w:val="24"/>
          <w:szCs w:val="24"/>
        </w:rPr>
      </w:pPr>
    </w:p>
    <w:p w14:paraId="409B1038" w14:textId="77777777" w:rsidR="001E4ADB" w:rsidRDefault="001E4ADB" w:rsidP="001E4ADB">
      <w:pPr>
        <w:spacing w:line="240" w:lineRule="auto"/>
        <w:jc w:val="center"/>
        <w:rPr>
          <w:rFonts w:ascii="Times New Roman" w:hAnsi="Times New Roman" w:cs="Times New Roman"/>
          <w:b/>
          <w:sz w:val="24"/>
          <w:szCs w:val="24"/>
        </w:rPr>
      </w:pPr>
    </w:p>
    <w:p w14:paraId="55631D5E" w14:textId="77777777" w:rsidR="001E4ADB" w:rsidRDefault="001E4ADB" w:rsidP="001E4ADB">
      <w:pPr>
        <w:spacing w:line="240" w:lineRule="auto"/>
        <w:jc w:val="center"/>
        <w:rPr>
          <w:rFonts w:ascii="Times New Roman" w:hAnsi="Times New Roman" w:cs="Times New Roman"/>
          <w:b/>
          <w:sz w:val="24"/>
          <w:szCs w:val="24"/>
        </w:rPr>
      </w:pPr>
    </w:p>
    <w:p w14:paraId="566A929D" w14:textId="77777777" w:rsidR="001E4ADB" w:rsidRDefault="001E4ADB" w:rsidP="001E4ADB">
      <w:pPr>
        <w:spacing w:line="240" w:lineRule="auto"/>
        <w:jc w:val="center"/>
        <w:rPr>
          <w:rFonts w:ascii="Times New Roman" w:hAnsi="Times New Roman" w:cs="Times New Roman"/>
          <w:b/>
          <w:sz w:val="24"/>
          <w:szCs w:val="24"/>
        </w:rPr>
      </w:pPr>
    </w:p>
    <w:p w14:paraId="314165E4" w14:textId="77777777" w:rsidR="001E4ADB" w:rsidRDefault="001E4ADB" w:rsidP="001E4ADB">
      <w:pPr>
        <w:spacing w:line="240" w:lineRule="auto"/>
        <w:jc w:val="center"/>
        <w:rPr>
          <w:rFonts w:ascii="Times New Roman" w:hAnsi="Times New Roman" w:cs="Times New Roman"/>
          <w:b/>
          <w:sz w:val="24"/>
          <w:szCs w:val="24"/>
        </w:rPr>
      </w:pPr>
    </w:p>
    <w:p w14:paraId="5187675A" w14:textId="77777777" w:rsidR="001E4ADB" w:rsidRDefault="001E4ADB" w:rsidP="001E4ADB">
      <w:pPr>
        <w:spacing w:line="240" w:lineRule="auto"/>
        <w:jc w:val="center"/>
        <w:rPr>
          <w:rFonts w:ascii="Times New Roman" w:hAnsi="Times New Roman" w:cs="Times New Roman"/>
          <w:b/>
          <w:sz w:val="24"/>
          <w:szCs w:val="24"/>
        </w:rPr>
      </w:pPr>
    </w:p>
    <w:p w14:paraId="3C360244" w14:textId="77777777" w:rsidR="001E4ADB" w:rsidRDefault="001E4ADB" w:rsidP="001E4ADB">
      <w:pPr>
        <w:spacing w:line="240" w:lineRule="auto"/>
        <w:jc w:val="center"/>
        <w:rPr>
          <w:rFonts w:ascii="Times New Roman" w:hAnsi="Times New Roman" w:cs="Times New Roman"/>
          <w:b/>
          <w:sz w:val="24"/>
          <w:szCs w:val="24"/>
        </w:rPr>
      </w:pPr>
    </w:p>
    <w:p w14:paraId="012BA231" w14:textId="34EE9872" w:rsidR="001E4ADB" w:rsidRPr="001E4ADB" w:rsidRDefault="001E4ADB" w:rsidP="001E4ADB">
      <w:pPr>
        <w:spacing w:line="240" w:lineRule="auto"/>
        <w:rPr>
          <w:rFonts w:ascii="Times New Roman" w:hAnsi="Times New Roman" w:cs="Times New Roman"/>
          <w:sz w:val="24"/>
          <w:szCs w:val="24"/>
        </w:rPr>
      </w:pPr>
      <w:r>
        <w:rPr>
          <w:rFonts w:ascii="Times New Roman" w:hAnsi="Times New Roman" w:cs="Times New Roman"/>
          <w:sz w:val="24"/>
          <w:szCs w:val="24"/>
        </w:rPr>
        <w:t>June 29, 2020</w:t>
      </w:r>
    </w:p>
    <w:sdt>
      <w:sdtPr>
        <w:rPr>
          <w:rFonts w:ascii="Arial" w:eastAsia="Arial" w:hAnsi="Arial" w:cs="Arial"/>
          <w:b w:val="0"/>
          <w:bCs w:val="0"/>
          <w:color w:val="auto"/>
          <w:sz w:val="22"/>
          <w:szCs w:val="22"/>
          <w:lang w:val="en"/>
        </w:rPr>
        <w:id w:val="137705040"/>
        <w:docPartObj>
          <w:docPartGallery w:val="Table of Contents"/>
          <w:docPartUnique/>
        </w:docPartObj>
      </w:sdtPr>
      <w:sdtEndPr>
        <w:rPr>
          <w:noProof/>
        </w:rPr>
      </w:sdtEndPr>
      <w:sdtContent>
        <w:p w14:paraId="3E1D4271" w14:textId="0DCA0A9E" w:rsidR="006D72ED" w:rsidRPr="006D72ED" w:rsidRDefault="006D72ED" w:rsidP="006D72ED">
          <w:pPr>
            <w:pStyle w:val="TOCHeading"/>
            <w:jc w:val="center"/>
            <w:rPr>
              <w:rFonts w:ascii="Times New Roman" w:hAnsi="Times New Roman" w:cs="Times New Roman"/>
              <w:color w:val="auto"/>
              <w:sz w:val="24"/>
              <w:szCs w:val="24"/>
            </w:rPr>
          </w:pPr>
          <w:r w:rsidRPr="006D72ED">
            <w:rPr>
              <w:rFonts w:ascii="Times New Roman" w:hAnsi="Times New Roman" w:cs="Times New Roman"/>
              <w:color w:val="auto"/>
              <w:sz w:val="24"/>
              <w:szCs w:val="24"/>
            </w:rPr>
            <w:t>Table of Contents</w:t>
          </w:r>
        </w:p>
        <w:p w14:paraId="3720857F" w14:textId="77777777" w:rsidR="0029785C" w:rsidRDefault="006D72ED">
          <w:pPr>
            <w:pStyle w:val="TOC1"/>
            <w:tabs>
              <w:tab w:val="left" w:pos="440"/>
              <w:tab w:val="right" w:leader="dot" w:pos="9350"/>
            </w:tabs>
            <w:rPr>
              <w:rFonts w:eastAsiaTheme="minorEastAsia" w:cstheme="minorBidi"/>
              <w:b w:val="0"/>
              <w:noProof/>
              <w:lang w:val="en-US"/>
            </w:rPr>
          </w:pPr>
          <w:r w:rsidRPr="006D72ED">
            <w:rPr>
              <w:rFonts w:ascii="Times New Roman" w:hAnsi="Times New Roman" w:cs="Times New Roman"/>
              <w:b w:val="0"/>
            </w:rPr>
            <w:fldChar w:fldCharType="begin"/>
          </w:r>
          <w:r w:rsidRPr="006D72ED">
            <w:rPr>
              <w:rFonts w:ascii="Times New Roman" w:hAnsi="Times New Roman" w:cs="Times New Roman"/>
            </w:rPr>
            <w:instrText xml:space="preserve"> TOC \o "1-3" \h \z \u </w:instrText>
          </w:r>
          <w:r w:rsidRPr="006D72ED">
            <w:rPr>
              <w:rFonts w:ascii="Times New Roman" w:hAnsi="Times New Roman" w:cs="Times New Roman"/>
              <w:b w:val="0"/>
            </w:rPr>
            <w:fldChar w:fldCharType="separate"/>
          </w:r>
          <w:hyperlink w:anchor="_Toc44320726" w:history="1">
            <w:r w:rsidR="0029785C" w:rsidRPr="006C2DAE">
              <w:rPr>
                <w:rStyle w:val="Hyperlink"/>
                <w:rFonts w:ascii="Times New Roman" w:hAnsi="Times New Roman" w:cs="Times New Roman"/>
                <w:noProof/>
              </w:rPr>
              <w:t>I.</w:t>
            </w:r>
            <w:r w:rsidR="0029785C">
              <w:rPr>
                <w:rFonts w:eastAsiaTheme="minorEastAsia" w:cstheme="minorBidi"/>
                <w:b w:val="0"/>
                <w:noProof/>
                <w:lang w:val="en-US"/>
              </w:rPr>
              <w:tab/>
            </w:r>
            <w:r w:rsidR="0029785C" w:rsidRPr="006C2DAE">
              <w:rPr>
                <w:rStyle w:val="Hyperlink"/>
                <w:rFonts w:ascii="Times New Roman" w:hAnsi="Times New Roman" w:cs="Times New Roman"/>
                <w:noProof/>
              </w:rPr>
              <w:t>Introduction and Summary</w:t>
            </w:r>
            <w:r w:rsidR="0029785C">
              <w:rPr>
                <w:noProof/>
                <w:webHidden/>
              </w:rPr>
              <w:tab/>
            </w:r>
            <w:r w:rsidR="0029785C">
              <w:rPr>
                <w:noProof/>
                <w:webHidden/>
              </w:rPr>
              <w:fldChar w:fldCharType="begin"/>
            </w:r>
            <w:r w:rsidR="0029785C">
              <w:rPr>
                <w:noProof/>
                <w:webHidden/>
              </w:rPr>
              <w:instrText xml:space="preserve"> PAGEREF _Toc44320726 \h </w:instrText>
            </w:r>
            <w:r w:rsidR="0029785C">
              <w:rPr>
                <w:noProof/>
                <w:webHidden/>
              </w:rPr>
            </w:r>
            <w:r w:rsidR="0029785C">
              <w:rPr>
                <w:noProof/>
                <w:webHidden/>
              </w:rPr>
              <w:fldChar w:fldCharType="separate"/>
            </w:r>
            <w:r w:rsidR="0048135C">
              <w:rPr>
                <w:noProof/>
                <w:webHidden/>
              </w:rPr>
              <w:t>1</w:t>
            </w:r>
            <w:r w:rsidR="0029785C">
              <w:rPr>
                <w:noProof/>
                <w:webHidden/>
              </w:rPr>
              <w:fldChar w:fldCharType="end"/>
            </w:r>
          </w:hyperlink>
        </w:p>
        <w:p w14:paraId="75AE1A8C" w14:textId="77777777" w:rsidR="0029785C" w:rsidRDefault="00454928">
          <w:pPr>
            <w:pStyle w:val="TOC1"/>
            <w:tabs>
              <w:tab w:val="left" w:pos="660"/>
              <w:tab w:val="right" w:leader="dot" w:pos="9350"/>
            </w:tabs>
            <w:rPr>
              <w:rFonts w:eastAsiaTheme="minorEastAsia" w:cstheme="minorBidi"/>
              <w:b w:val="0"/>
              <w:noProof/>
              <w:lang w:val="en-US"/>
            </w:rPr>
          </w:pPr>
          <w:hyperlink w:anchor="_Toc44320727" w:history="1">
            <w:r w:rsidR="0029785C" w:rsidRPr="006C2DAE">
              <w:rPr>
                <w:rStyle w:val="Hyperlink"/>
                <w:rFonts w:ascii="Times New Roman" w:hAnsi="Times New Roman" w:cs="Times New Roman"/>
                <w:noProof/>
              </w:rPr>
              <w:t>II.</w:t>
            </w:r>
            <w:r w:rsidR="0029785C">
              <w:rPr>
                <w:rFonts w:eastAsiaTheme="minorEastAsia" w:cstheme="minorBidi"/>
                <w:b w:val="0"/>
                <w:noProof/>
                <w:lang w:val="en-US"/>
              </w:rPr>
              <w:tab/>
            </w:r>
            <w:r w:rsidR="0029785C" w:rsidRPr="006C2DAE">
              <w:rPr>
                <w:rStyle w:val="Hyperlink"/>
                <w:rFonts w:ascii="Times New Roman" w:hAnsi="Times New Roman" w:cs="Times New Roman"/>
                <w:noProof/>
              </w:rPr>
              <w:t>The Commission Should Authorize the Operation of Very-Low-Power Devices Across the Entire 6 GHz Band</w:t>
            </w:r>
            <w:r w:rsidR="0029785C">
              <w:rPr>
                <w:noProof/>
                <w:webHidden/>
              </w:rPr>
              <w:tab/>
            </w:r>
            <w:r w:rsidR="0029785C">
              <w:rPr>
                <w:noProof/>
                <w:webHidden/>
              </w:rPr>
              <w:fldChar w:fldCharType="begin"/>
            </w:r>
            <w:r w:rsidR="0029785C">
              <w:rPr>
                <w:noProof/>
                <w:webHidden/>
              </w:rPr>
              <w:instrText xml:space="preserve"> PAGEREF _Toc44320727 \h </w:instrText>
            </w:r>
            <w:r w:rsidR="0029785C">
              <w:rPr>
                <w:noProof/>
                <w:webHidden/>
              </w:rPr>
            </w:r>
            <w:r w:rsidR="0029785C">
              <w:rPr>
                <w:noProof/>
                <w:webHidden/>
              </w:rPr>
              <w:fldChar w:fldCharType="separate"/>
            </w:r>
            <w:r w:rsidR="0048135C">
              <w:rPr>
                <w:noProof/>
                <w:webHidden/>
              </w:rPr>
              <w:t>4</w:t>
            </w:r>
            <w:r w:rsidR="0029785C">
              <w:rPr>
                <w:noProof/>
                <w:webHidden/>
              </w:rPr>
              <w:fldChar w:fldCharType="end"/>
            </w:r>
          </w:hyperlink>
        </w:p>
        <w:p w14:paraId="333D5CA7" w14:textId="77777777" w:rsidR="0029785C" w:rsidRDefault="00454928">
          <w:pPr>
            <w:pStyle w:val="TOC1"/>
            <w:tabs>
              <w:tab w:val="left" w:pos="660"/>
              <w:tab w:val="right" w:leader="dot" w:pos="9350"/>
            </w:tabs>
            <w:rPr>
              <w:rFonts w:eastAsiaTheme="minorEastAsia" w:cstheme="minorBidi"/>
              <w:b w:val="0"/>
              <w:noProof/>
              <w:lang w:val="en-US"/>
            </w:rPr>
          </w:pPr>
          <w:hyperlink w:anchor="_Toc44320728" w:history="1">
            <w:r w:rsidR="0029785C" w:rsidRPr="006C2DAE">
              <w:rPr>
                <w:rStyle w:val="Hyperlink"/>
                <w:rFonts w:ascii="Times New Roman" w:hAnsi="Times New Roman" w:cs="Times New Roman"/>
                <w:noProof/>
              </w:rPr>
              <w:t>III.</w:t>
            </w:r>
            <w:r w:rsidR="0029785C">
              <w:rPr>
                <w:rFonts w:eastAsiaTheme="minorEastAsia" w:cstheme="minorBidi"/>
                <w:b w:val="0"/>
                <w:noProof/>
                <w:lang w:val="en-US"/>
              </w:rPr>
              <w:tab/>
            </w:r>
            <w:r w:rsidR="0029785C" w:rsidRPr="006C2DAE">
              <w:rPr>
                <w:rStyle w:val="Hyperlink"/>
                <w:rFonts w:ascii="Times New Roman" w:hAnsi="Times New Roman" w:cs="Times New Roman"/>
                <w:noProof/>
              </w:rPr>
              <w:t>Low-Power Indoor-Only Devices Should be Authorized to Operate at a Higher Power Spectral Density of 8 dBm/MHz and Up to 33 dBm EIRP over a 320 Megahertz Channel</w:t>
            </w:r>
            <w:r w:rsidR="0029785C">
              <w:rPr>
                <w:noProof/>
                <w:webHidden/>
              </w:rPr>
              <w:tab/>
            </w:r>
            <w:r w:rsidR="0029785C">
              <w:rPr>
                <w:noProof/>
                <w:webHidden/>
              </w:rPr>
              <w:fldChar w:fldCharType="begin"/>
            </w:r>
            <w:r w:rsidR="0029785C">
              <w:rPr>
                <w:noProof/>
                <w:webHidden/>
              </w:rPr>
              <w:instrText xml:space="preserve"> PAGEREF _Toc44320728 \h </w:instrText>
            </w:r>
            <w:r w:rsidR="0029785C">
              <w:rPr>
                <w:noProof/>
                <w:webHidden/>
              </w:rPr>
            </w:r>
            <w:r w:rsidR="0029785C">
              <w:rPr>
                <w:noProof/>
                <w:webHidden/>
              </w:rPr>
              <w:fldChar w:fldCharType="separate"/>
            </w:r>
            <w:r w:rsidR="0048135C">
              <w:rPr>
                <w:noProof/>
                <w:webHidden/>
              </w:rPr>
              <w:t>11</w:t>
            </w:r>
            <w:r w:rsidR="0029785C">
              <w:rPr>
                <w:noProof/>
                <w:webHidden/>
              </w:rPr>
              <w:fldChar w:fldCharType="end"/>
            </w:r>
          </w:hyperlink>
        </w:p>
        <w:p w14:paraId="54184CCE" w14:textId="77777777" w:rsidR="0029785C" w:rsidRDefault="00454928">
          <w:pPr>
            <w:pStyle w:val="TOC1"/>
            <w:tabs>
              <w:tab w:val="left" w:pos="660"/>
              <w:tab w:val="right" w:leader="dot" w:pos="9350"/>
            </w:tabs>
            <w:rPr>
              <w:rFonts w:eastAsiaTheme="minorEastAsia" w:cstheme="minorBidi"/>
              <w:b w:val="0"/>
              <w:noProof/>
              <w:lang w:val="en-US"/>
            </w:rPr>
          </w:pPr>
          <w:hyperlink w:anchor="_Toc44320729" w:history="1">
            <w:r w:rsidR="0029785C" w:rsidRPr="006C2DAE">
              <w:rPr>
                <w:rStyle w:val="Hyperlink"/>
                <w:rFonts w:ascii="Times New Roman" w:hAnsi="Times New Roman" w:cs="Times New Roman"/>
                <w:noProof/>
              </w:rPr>
              <w:t>IV.</w:t>
            </w:r>
            <w:r w:rsidR="0029785C">
              <w:rPr>
                <w:rFonts w:eastAsiaTheme="minorEastAsia" w:cstheme="minorBidi"/>
                <w:b w:val="0"/>
                <w:noProof/>
                <w:lang w:val="en-US"/>
              </w:rPr>
              <w:tab/>
            </w:r>
            <w:r w:rsidR="0029785C" w:rsidRPr="006C2DAE">
              <w:rPr>
                <w:rStyle w:val="Hyperlink"/>
                <w:rFonts w:ascii="Times New Roman" w:hAnsi="Times New Roman" w:cs="Times New Roman"/>
                <w:noProof/>
              </w:rPr>
              <w:t>The Commission Should Authorize Higher Power Limits and Antenna Directivity for Both Point-to-Point and Point-to-Multipoint Fixed Operations in the U-NII-5 and U-NII-7 Bands</w:t>
            </w:r>
            <w:r w:rsidR="0029785C">
              <w:rPr>
                <w:noProof/>
                <w:webHidden/>
              </w:rPr>
              <w:tab/>
            </w:r>
            <w:r w:rsidR="0029785C">
              <w:rPr>
                <w:noProof/>
                <w:webHidden/>
              </w:rPr>
              <w:fldChar w:fldCharType="begin"/>
            </w:r>
            <w:r w:rsidR="0029785C">
              <w:rPr>
                <w:noProof/>
                <w:webHidden/>
              </w:rPr>
              <w:instrText xml:space="preserve"> PAGEREF _Toc44320729 \h </w:instrText>
            </w:r>
            <w:r w:rsidR="0029785C">
              <w:rPr>
                <w:noProof/>
                <w:webHidden/>
              </w:rPr>
            </w:r>
            <w:r w:rsidR="0029785C">
              <w:rPr>
                <w:noProof/>
                <w:webHidden/>
              </w:rPr>
              <w:fldChar w:fldCharType="separate"/>
            </w:r>
            <w:r w:rsidR="0048135C">
              <w:rPr>
                <w:noProof/>
                <w:webHidden/>
              </w:rPr>
              <w:t>18</w:t>
            </w:r>
            <w:r w:rsidR="0029785C">
              <w:rPr>
                <w:noProof/>
                <w:webHidden/>
              </w:rPr>
              <w:fldChar w:fldCharType="end"/>
            </w:r>
          </w:hyperlink>
        </w:p>
        <w:p w14:paraId="43476862" w14:textId="77777777" w:rsidR="0029785C" w:rsidRDefault="00454928">
          <w:pPr>
            <w:pStyle w:val="TOC1"/>
            <w:tabs>
              <w:tab w:val="left" w:pos="660"/>
              <w:tab w:val="right" w:leader="dot" w:pos="9350"/>
            </w:tabs>
            <w:rPr>
              <w:rFonts w:eastAsiaTheme="minorEastAsia" w:cstheme="minorBidi"/>
              <w:b w:val="0"/>
              <w:noProof/>
              <w:lang w:val="en-US"/>
            </w:rPr>
          </w:pPr>
          <w:hyperlink w:anchor="_Toc44320730" w:history="1">
            <w:r w:rsidR="0029785C" w:rsidRPr="006C2DAE">
              <w:rPr>
                <w:rStyle w:val="Hyperlink"/>
                <w:rFonts w:ascii="Times New Roman" w:hAnsi="Times New Roman" w:cs="Times New Roman"/>
                <w:noProof/>
              </w:rPr>
              <w:t>V.</w:t>
            </w:r>
            <w:r w:rsidR="0029785C">
              <w:rPr>
                <w:rFonts w:eastAsiaTheme="minorEastAsia" w:cstheme="minorBidi"/>
                <w:b w:val="0"/>
                <w:noProof/>
                <w:lang w:val="en-US"/>
              </w:rPr>
              <w:tab/>
            </w:r>
            <w:r w:rsidR="0029785C" w:rsidRPr="006C2DAE">
              <w:rPr>
                <w:rStyle w:val="Hyperlink"/>
                <w:rFonts w:ascii="Times New Roman" w:hAnsi="Times New Roman" w:cs="Times New Roman"/>
                <w:noProof/>
              </w:rPr>
              <w:t>The Commission Should Authorize Mobile Standard-Power Access Points Under AFC Control in the U-NII-5 and U-NII-7 Bands</w:t>
            </w:r>
            <w:r w:rsidR="0029785C">
              <w:rPr>
                <w:noProof/>
                <w:webHidden/>
              </w:rPr>
              <w:tab/>
            </w:r>
            <w:r w:rsidR="0029785C">
              <w:rPr>
                <w:noProof/>
                <w:webHidden/>
              </w:rPr>
              <w:fldChar w:fldCharType="begin"/>
            </w:r>
            <w:r w:rsidR="0029785C">
              <w:rPr>
                <w:noProof/>
                <w:webHidden/>
              </w:rPr>
              <w:instrText xml:space="preserve"> PAGEREF _Toc44320730 \h </w:instrText>
            </w:r>
            <w:r w:rsidR="0029785C">
              <w:rPr>
                <w:noProof/>
                <w:webHidden/>
              </w:rPr>
            </w:r>
            <w:r w:rsidR="0029785C">
              <w:rPr>
                <w:noProof/>
                <w:webHidden/>
              </w:rPr>
              <w:fldChar w:fldCharType="separate"/>
            </w:r>
            <w:r w:rsidR="0048135C">
              <w:rPr>
                <w:noProof/>
                <w:webHidden/>
              </w:rPr>
              <w:t>24</w:t>
            </w:r>
            <w:r w:rsidR="0029785C">
              <w:rPr>
                <w:noProof/>
                <w:webHidden/>
              </w:rPr>
              <w:fldChar w:fldCharType="end"/>
            </w:r>
          </w:hyperlink>
        </w:p>
        <w:p w14:paraId="257C4082" w14:textId="77777777" w:rsidR="0029785C" w:rsidRDefault="00454928">
          <w:pPr>
            <w:pStyle w:val="TOC1"/>
            <w:tabs>
              <w:tab w:val="left" w:pos="660"/>
              <w:tab w:val="right" w:leader="dot" w:pos="9350"/>
            </w:tabs>
            <w:rPr>
              <w:rFonts w:eastAsiaTheme="minorEastAsia" w:cstheme="minorBidi"/>
              <w:b w:val="0"/>
              <w:noProof/>
              <w:lang w:val="en-US"/>
            </w:rPr>
          </w:pPr>
          <w:hyperlink w:anchor="_Toc44320731" w:history="1">
            <w:r w:rsidR="0029785C" w:rsidRPr="006C2DAE">
              <w:rPr>
                <w:rStyle w:val="Hyperlink"/>
                <w:rFonts w:ascii="Times New Roman" w:hAnsi="Times New Roman" w:cs="Times New Roman"/>
                <w:noProof/>
              </w:rPr>
              <w:t>VI.</w:t>
            </w:r>
            <w:r w:rsidR="0029785C">
              <w:rPr>
                <w:rFonts w:eastAsiaTheme="minorEastAsia" w:cstheme="minorBidi"/>
                <w:b w:val="0"/>
                <w:noProof/>
                <w:lang w:val="en-US"/>
              </w:rPr>
              <w:tab/>
            </w:r>
            <w:r w:rsidR="0029785C" w:rsidRPr="006C2DAE">
              <w:rPr>
                <w:rStyle w:val="Hyperlink"/>
                <w:rFonts w:ascii="Times New Roman" w:hAnsi="Times New Roman" w:cs="Times New Roman"/>
                <w:noProof/>
              </w:rPr>
              <w:t>Conclusion</w:t>
            </w:r>
            <w:r w:rsidR="0029785C">
              <w:rPr>
                <w:noProof/>
                <w:webHidden/>
              </w:rPr>
              <w:tab/>
            </w:r>
            <w:r w:rsidR="0029785C">
              <w:rPr>
                <w:noProof/>
                <w:webHidden/>
              </w:rPr>
              <w:fldChar w:fldCharType="begin"/>
            </w:r>
            <w:r w:rsidR="0029785C">
              <w:rPr>
                <w:noProof/>
                <w:webHidden/>
              </w:rPr>
              <w:instrText xml:space="preserve"> PAGEREF _Toc44320731 \h </w:instrText>
            </w:r>
            <w:r w:rsidR="0029785C">
              <w:rPr>
                <w:noProof/>
                <w:webHidden/>
              </w:rPr>
            </w:r>
            <w:r w:rsidR="0029785C">
              <w:rPr>
                <w:noProof/>
                <w:webHidden/>
              </w:rPr>
              <w:fldChar w:fldCharType="separate"/>
            </w:r>
            <w:r w:rsidR="0048135C">
              <w:rPr>
                <w:noProof/>
                <w:webHidden/>
              </w:rPr>
              <w:t>28</w:t>
            </w:r>
            <w:r w:rsidR="0029785C">
              <w:rPr>
                <w:noProof/>
                <w:webHidden/>
              </w:rPr>
              <w:fldChar w:fldCharType="end"/>
            </w:r>
          </w:hyperlink>
        </w:p>
        <w:p w14:paraId="038AAC6A" w14:textId="674E4D9A" w:rsidR="006D72ED" w:rsidRDefault="006D72ED">
          <w:r w:rsidRPr="006D72ED">
            <w:rPr>
              <w:rFonts w:ascii="Times New Roman" w:hAnsi="Times New Roman" w:cs="Times New Roman"/>
              <w:b/>
              <w:bCs/>
              <w:noProof/>
              <w:sz w:val="24"/>
              <w:szCs w:val="24"/>
            </w:rPr>
            <w:fldChar w:fldCharType="end"/>
          </w:r>
        </w:p>
      </w:sdtContent>
    </w:sdt>
    <w:p w14:paraId="4D60DED1" w14:textId="77777777" w:rsidR="0070460E" w:rsidRDefault="0070460E" w:rsidP="001E4ADB">
      <w:pPr>
        <w:spacing w:line="240" w:lineRule="auto"/>
        <w:rPr>
          <w:rFonts w:ascii="Times New Roman" w:hAnsi="Times New Roman" w:cs="Times New Roman"/>
          <w:b/>
          <w:sz w:val="24"/>
          <w:szCs w:val="24"/>
        </w:rPr>
        <w:sectPr w:rsidR="0070460E" w:rsidSect="0070460E">
          <w:footerReference w:type="even" r:id="rId8"/>
          <w:footerReference w:type="default" r:id="rId9"/>
          <w:pgSz w:w="12240" w:h="15840"/>
          <w:pgMar w:top="1440" w:right="1440" w:bottom="1440" w:left="1440" w:header="720" w:footer="720" w:gutter="0"/>
          <w:pgNumType w:fmt="lowerRoman" w:start="1"/>
          <w:cols w:space="720"/>
          <w:titlePg/>
        </w:sectPr>
      </w:pPr>
    </w:p>
    <w:p w14:paraId="54FCB83E" w14:textId="3F12C01D" w:rsidR="006D72ED" w:rsidRDefault="006D72ED" w:rsidP="001E4ADB">
      <w:pPr>
        <w:spacing w:line="240" w:lineRule="auto"/>
        <w:rPr>
          <w:rFonts w:ascii="Times New Roman" w:hAnsi="Times New Roman" w:cs="Times New Roman"/>
          <w:b/>
          <w:sz w:val="24"/>
          <w:szCs w:val="24"/>
        </w:rPr>
      </w:pPr>
    </w:p>
    <w:p w14:paraId="508928A2" w14:textId="77777777" w:rsidR="00E84114" w:rsidRPr="00B6099B" w:rsidRDefault="00E84114" w:rsidP="00E84114">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Before the</w:t>
      </w:r>
    </w:p>
    <w:p w14:paraId="38E89F7A" w14:textId="77777777" w:rsidR="00E84114" w:rsidRPr="00B6099B" w:rsidRDefault="00E84114" w:rsidP="00E84114">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Federal Communications Commission</w:t>
      </w:r>
    </w:p>
    <w:p w14:paraId="4F3ACFE1" w14:textId="77777777" w:rsidR="00E84114" w:rsidRDefault="00E84114" w:rsidP="00E84114">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Washington, DC 20554</w:t>
      </w:r>
    </w:p>
    <w:p w14:paraId="1E45CC4C" w14:textId="77777777" w:rsidR="00E84114" w:rsidRDefault="00E84114" w:rsidP="00E84114">
      <w:pPr>
        <w:spacing w:line="240" w:lineRule="auto"/>
        <w:rPr>
          <w:rFonts w:ascii="Times New Roman" w:hAnsi="Times New Roman" w:cs="Times New Roman"/>
          <w:sz w:val="24"/>
          <w:szCs w:val="24"/>
        </w:rPr>
      </w:pPr>
    </w:p>
    <w:p w14:paraId="76BB461D"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In the Matter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97DC3D2"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8CDF760"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Unlicensed Use of the 6 GHz Band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ET Docket No. 18-295</w:t>
      </w:r>
    </w:p>
    <w:p w14:paraId="5097FE88"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0C8D62"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Expanding Flexible Use in Mid-Band Spectrum</w:t>
      </w:r>
      <w:r>
        <w:rPr>
          <w:rFonts w:ascii="Times New Roman" w:hAnsi="Times New Roman" w:cs="Times New Roman"/>
          <w:sz w:val="24"/>
          <w:szCs w:val="24"/>
        </w:rPr>
        <w:tab/>
        <w:t>)</w:t>
      </w:r>
      <w:r>
        <w:rPr>
          <w:rFonts w:ascii="Times New Roman" w:hAnsi="Times New Roman" w:cs="Times New Roman"/>
          <w:sz w:val="24"/>
          <w:szCs w:val="24"/>
        </w:rPr>
        <w:tab/>
        <w:t>GN Docket No. 17-183</w:t>
      </w:r>
    </w:p>
    <w:p w14:paraId="6698CA9B"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Between 3.7 and 24 GHz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EA18CA1" w14:textId="77777777" w:rsidR="00E84114" w:rsidRDefault="00E84114" w:rsidP="00E84114">
      <w:pPr>
        <w:spacing w:line="240" w:lineRule="auto"/>
        <w:rPr>
          <w:rFonts w:ascii="Times New Roman" w:hAnsi="Times New Roman" w:cs="Times New Roman"/>
          <w:sz w:val="24"/>
          <w:szCs w:val="24"/>
        </w:rPr>
      </w:pPr>
    </w:p>
    <w:p w14:paraId="669CBAAD" w14:textId="77777777" w:rsidR="00E84114" w:rsidRDefault="00E84114" w:rsidP="00E84114">
      <w:pPr>
        <w:spacing w:line="240" w:lineRule="auto"/>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The Commission</w:t>
      </w:r>
    </w:p>
    <w:p w14:paraId="25B275E9" w14:textId="77777777" w:rsidR="00E84114" w:rsidRDefault="00E84114" w:rsidP="00E84114">
      <w:pPr>
        <w:spacing w:line="240" w:lineRule="auto"/>
        <w:rPr>
          <w:rFonts w:ascii="Times New Roman" w:hAnsi="Times New Roman" w:cs="Times New Roman"/>
          <w:sz w:val="24"/>
          <w:szCs w:val="24"/>
        </w:rPr>
      </w:pPr>
    </w:p>
    <w:p w14:paraId="4A62372C" w14:textId="77777777" w:rsidR="00E84114" w:rsidRPr="00B6099B" w:rsidRDefault="00E84114" w:rsidP="00E84114">
      <w:pPr>
        <w:spacing w:line="240" w:lineRule="auto"/>
        <w:jc w:val="center"/>
        <w:rPr>
          <w:rFonts w:ascii="Times New Roman" w:hAnsi="Times New Roman" w:cs="Times New Roman"/>
          <w:b/>
          <w:sz w:val="24"/>
          <w:szCs w:val="24"/>
        </w:rPr>
      </w:pPr>
      <w:r w:rsidRPr="00B6099B">
        <w:rPr>
          <w:rFonts w:ascii="Times New Roman" w:hAnsi="Times New Roman" w:cs="Times New Roman"/>
          <w:b/>
          <w:sz w:val="24"/>
          <w:szCs w:val="24"/>
        </w:rPr>
        <w:t>COMMENTS OF</w:t>
      </w:r>
    </w:p>
    <w:p w14:paraId="34EB706C" w14:textId="334A9592" w:rsidR="00E84114" w:rsidRPr="00B6099B" w:rsidRDefault="00E84114" w:rsidP="00E841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PUBLIC INTEREST SPECTRUM COALITION</w:t>
      </w:r>
    </w:p>
    <w:p w14:paraId="4744A61E" w14:textId="77777777" w:rsidR="00E84114" w:rsidRDefault="00E84114" w:rsidP="00E84114">
      <w:pPr>
        <w:spacing w:line="240" w:lineRule="auto"/>
        <w:rPr>
          <w:rFonts w:ascii="Times New Roman" w:hAnsi="Times New Roman" w:cs="Times New Roman"/>
          <w:sz w:val="24"/>
          <w:szCs w:val="24"/>
        </w:rPr>
      </w:pPr>
    </w:p>
    <w:p w14:paraId="20F371BD" w14:textId="1064184F" w:rsidR="00E84114" w:rsidRPr="008F764D" w:rsidRDefault="00E84114" w:rsidP="008F76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Public Interest Spectrum Coalition (“PISC”)</w:t>
      </w:r>
      <w:r w:rsidR="008F764D">
        <w:rPr>
          <w:rFonts w:ascii="Times New Roman" w:hAnsi="Times New Roman" w:cs="Times New Roman"/>
          <w:sz w:val="24"/>
          <w:szCs w:val="24"/>
        </w:rPr>
        <w:t>—made up of New America’s Open Technology Institute, Public Knowledge, Consumer Federation of America, and X-Lab—</w:t>
      </w:r>
      <w:r>
        <w:rPr>
          <w:rFonts w:ascii="Times New Roman" w:hAnsi="Times New Roman" w:cs="Times New Roman"/>
          <w:sz w:val="24"/>
          <w:szCs w:val="24"/>
        </w:rPr>
        <w:t>hereby submits our</w:t>
      </w:r>
      <w:r w:rsidR="00535926">
        <w:rPr>
          <w:rFonts w:ascii="Times New Roman" w:hAnsi="Times New Roman" w:cs="Times New Roman"/>
          <w:sz w:val="24"/>
          <w:szCs w:val="24"/>
        </w:rPr>
        <w:t xml:space="preserve"> initial c</w:t>
      </w:r>
      <w:r>
        <w:rPr>
          <w:rFonts w:ascii="Times New Roman" w:hAnsi="Times New Roman" w:cs="Times New Roman"/>
          <w:sz w:val="24"/>
          <w:szCs w:val="24"/>
        </w:rPr>
        <w:t>omments in response to the questions presented in the Further Notice of Proposed Rulemaking (“FNPRM”) in the above-captioned proceedings.</w:t>
      </w:r>
      <w:r>
        <w:rPr>
          <w:rStyle w:val="FootnoteReference"/>
          <w:rFonts w:ascii="Times New Roman" w:hAnsi="Times New Roman" w:cs="Times New Roman"/>
          <w:sz w:val="24"/>
          <w:szCs w:val="24"/>
        </w:rPr>
        <w:footnoteReference w:id="1"/>
      </w:r>
      <w:r w:rsidR="00E23DC5">
        <w:rPr>
          <w:rFonts w:ascii="Times New Roman" w:hAnsi="Times New Roman" w:cs="Times New Roman"/>
          <w:sz w:val="24"/>
          <w:szCs w:val="24"/>
        </w:rPr>
        <w:t xml:space="preserve"> </w:t>
      </w:r>
    </w:p>
    <w:p w14:paraId="44C15C07" w14:textId="3E14C24A" w:rsidR="00E0209A" w:rsidRPr="001E4ADB" w:rsidRDefault="00E23DC5" w:rsidP="001E4ADB">
      <w:pPr>
        <w:pStyle w:val="Heading1"/>
        <w:numPr>
          <w:ilvl w:val="0"/>
          <w:numId w:val="4"/>
        </w:numPr>
        <w:rPr>
          <w:rFonts w:ascii="Times New Roman" w:hAnsi="Times New Roman" w:cs="Times New Roman"/>
          <w:b/>
          <w:sz w:val="24"/>
          <w:szCs w:val="24"/>
        </w:rPr>
      </w:pPr>
      <w:bookmarkStart w:id="0" w:name="_Toc44320726"/>
      <w:r w:rsidRPr="001E4ADB">
        <w:rPr>
          <w:rFonts w:ascii="Times New Roman" w:hAnsi="Times New Roman" w:cs="Times New Roman"/>
          <w:b/>
          <w:sz w:val="24"/>
          <w:szCs w:val="24"/>
        </w:rPr>
        <w:t xml:space="preserve">Introduction and </w:t>
      </w:r>
      <w:r w:rsidR="00E0209A" w:rsidRPr="001E4ADB">
        <w:rPr>
          <w:rFonts w:ascii="Times New Roman" w:hAnsi="Times New Roman" w:cs="Times New Roman"/>
          <w:b/>
          <w:sz w:val="24"/>
          <w:szCs w:val="24"/>
        </w:rPr>
        <w:t>Summary</w:t>
      </w:r>
      <w:bookmarkEnd w:id="0"/>
    </w:p>
    <w:p w14:paraId="3AE49796" w14:textId="77777777" w:rsidR="00E84114" w:rsidRDefault="00E84114" w:rsidP="00E84114">
      <w:pPr>
        <w:ind w:left="720"/>
        <w:rPr>
          <w:rFonts w:ascii="Times New Roman" w:eastAsia="Times New Roman" w:hAnsi="Times New Roman" w:cs="Times New Roman"/>
          <w:b/>
          <w:sz w:val="24"/>
          <w:szCs w:val="24"/>
        </w:rPr>
      </w:pPr>
    </w:p>
    <w:p w14:paraId="66FCEC1C" w14:textId="030F95EB" w:rsidR="00E23DC5" w:rsidRPr="00535926" w:rsidRDefault="00E23DC5" w:rsidP="00E23D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Public Interest Spectrum Coalition commends the Commission for its unanimous </w:t>
      </w:r>
      <w:r>
        <w:rPr>
          <w:rFonts w:ascii="Times New Roman" w:hAnsi="Times New Roman" w:cs="Times New Roman"/>
          <w:i/>
          <w:sz w:val="24"/>
          <w:szCs w:val="24"/>
        </w:rPr>
        <w:t>Report and Order</w:t>
      </w:r>
      <w:r>
        <w:rPr>
          <w:rFonts w:ascii="Times New Roman" w:hAnsi="Times New Roman" w:cs="Times New Roman"/>
          <w:sz w:val="24"/>
          <w:szCs w:val="24"/>
        </w:rPr>
        <w:t xml:space="preserve"> authorizing open public access to an additional 1200 megahertz of unlicensed spectrum across the entirety of the 6 GHz band. Our organizations generally support the Commission’s proposals in the </w:t>
      </w:r>
      <w:r w:rsidRPr="00E23DC5">
        <w:rPr>
          <w:rFonts w:ascii="Times New Roman" w:hAnsi="Times New Roman" w:cs="Times New Roman"/>
          <w:i/>
          <w:sz w:val="24"/>
          <w:szCs w:val="24"/>
        </w:rPr>
        <w:t>FNPRM</w:t>
      </w:r>
      <w:r>
        <w:rPr>
          <w:rFonts w:ascii="Times New Roman" w:hAnsi="Times New Roman" w:cs="Times New Roman"/>
          <w:sz w:val="24"/>
          <w:szCs w:val="24"/>
        </w:rPr>
        <w:t xml:space="preserve"> and we urge the agency to adopt the most robust possible technical rules so that the next generation of Wi-Fi technologies, as well as mobile 5G networks, can offer consumers and the American economy the potentially revolutionary benefits </w:t>
      </w:r>
      <w:r>
        <w:rPr>
          <w:rFonts w:ascii="Times New Roman" w:hAnsi="Times New Roman" w:cs="Times New Roman"/>
          <w:sz w:val="24"/>
          <w:szCs w:val="24"/>
        </w:rPr>
        <w:lastRenderedPageBreak/>
        <w:t xml:space="preserve">of affordable gigabit-fast connectivity and innovative new applications both at home and on the go. Below we address each of the four primary issues raised in the </w:t>
      </w:r>
      <w:r w:rsidRPr="00E23DC5">
        <w:rPr>
          <w:rFonts w:ascii="Times New Roman" w:hAnsi="Times New Roman" w:cs="Times New Roman"/>
          <w:i/>
          <w:sz w:val="24"/>
          <w:szCs w:val="24"/>
        </w:rPr>
        <w:t>FNPRM</w:t>
      </w:r>
      <w:r>
        <w:rPr>
          <w:rFonts w:ascii="Times New Roman" w:hAnsi="Times New Roman" w:cs="Times New Roman"/>
          <w:sz w:val="24"/>
          <w:szCs w:val="24"/>
        </w:rPr>
        <w:t>.</w:t>
      </w:r>
    </w:p>
    <w:p w14:paraId="621819FB" w14:textId="2B75DE56" w:rsidR="00E0209A" w:rsidRDefault="00E23DC5" w:rsidP="00E84114">
      <w:pPr>
        <w:spacing w:line="480" w:lineRule="auto"/>
        <w:ind w:firstLine="720"/>
        <w:contextualSpacing/>
        <w:rPr>
          <w:rFonts w:ascii="Times New Roman" w:eastAsia="Calibri" w:hAnsi="Times New Roman" w:cs="Times New Roman"/>
          <w:sz w:val="24"/>
          <w:szCs w:val="24"/>
          <w:lang w:val="en-US"/>
        </w:rPr>
      </w:pPr>
      <w:r>
        <w:rPr>
          <w:rFonts w:ascii="Times New Roman" w:eastAsia="Times New Roman" w:hAnsi="Times New Roman" w:cs="Times New Roman"/>
          <w:sz w:val="24"/>
          <w:szCs w:val="24"/>
        </w:rPr>
        <w:t xml:space="preserve">First, PISC strongly supports the </w:t>
      </w:r>
      <w:r w:rsidRPr="009F4566">
        <w:rPr>
          <w:rFonts w:ascii="Times New Roman" w:eastAsia="Calibri" w:hAnsi="Times New Roman" w:cs="Times New Roman"/>
          <w:sz w:val="24"/>
          <w:szCs w:val="24"/>
          <w:lang w:val="en-US"/>
        </w:rPr>
        <w:t>Commission</w:t>
      </w:r>
      <w:r>
        <w:rPr>
          <w:rFonts w:ascii="Times New Roman" w:eastAsia="Calibri" w:hAnsi="Times New Roman" w:cs="Times New Roman"/>
          <w:sz w:val="24"/>
          <w:szCs w:val="24"/>
          <w:lang w:val="en-US"/>
        </w:rPr>
        <w:t xml:space="preserve">’s proposal to </w:t>
      </w:r>
      <w:r w:rsidRPr="009F4566">
        <w:rPr>
          <w:rFonts w:ascii="Times New Roman" w:eastAsia="Calibri" w:hAnsi="Times New Roman" w:cs="Times New Roman"/>
          <w:sz w:val="24"/>
          <w:szCs w:val="24"/>
          <w:lang w:val="en-US"/>
        </w:rPr>
        <w:t>authorize very low power (“VLP”) unlicensed devices to operate both indoors and outdoors across th</w:t>
      </w:r>
      <w:r w:rsidR="00252A54">
        <w:rPr>
          <w:rFonts w:ascii="Times New Roman" w:eastAsia="Calibri" w:hAnsi="Times New Roman" w:cs="Times New Roman"/>
          <w:sz w:val="24"/>
          <w:szCs w:val="24"/>
          <w:lang w:val="en-US"/>
        </w:rPr>
        <w:t xml:space="preserve">e band’s entire 1200 megahertz </w:t>
      </w:r>
      <w:r w:rsidRPr="009F4566">
        <w:rPr>
          <w:rFonts w:ascii="Times New Roman" w:eastAsia="Calibri" w:hAnsi="Times New Roman" w:cs="Times New Roman"/>
          <w:sz w:val="24"/>
          <w:szCs w:val="24"/>
          <w:lang w:val="en-US"/>
        </w:rPr>
        <w:t>unburdened by any requirement to be under the control of an Automated Frequency Control (“AFC”) system.</w:t>
      </w:r>
      <w:r>
        <w:rPr>
          <w:rStyle w:val="FootnoteReference"/>
          <w:rFonts w:ascii="Times New Roman" w:eastAsia="Calibri" w:hAnsi="Times New Roman" w:cs="Times New Roman"/>
          <w:sz w:val="24"/>
          <w:szCs w:val="24"/>
          <w:lang w:val="en-US"/>
        </w:rPr>
        <w:footnoteReference w:id="2"/>
      </w:r>
      <w:r w:rsidR="00252A5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It’s crucial that the Commission authorize VLP devices to operate at power levels up to</w:t>
      </w:r>
      <w:r w:rsidRPr="009F4566">
        <w:rPr>
          <w:rFonts w:ascii="Times New Roman" w:eastAsia="Calibri" w:hAnsi="Times New Roman" w:cs="Times New Roman"/>
          <w:sz w:val="24"/>
          <w:szCs w:val="24"/>
          <w:lang w:val="en-US"/>
        </w:rPr>
        <w:t xml:space="preserve"> 14 dBm EIRP (</w:t>
      </w:r>
      <w:r>
        <w:rPr>
          <w:rFonts w:ascii="Times New Roman" w:eastAsia="Calibri" w:hAnsi="Times New Roman" w:cs="Times New Roman"/>
          <w:sz w:val="24"/>
          <w:szCs w:val="24"/>
          <w:lang w:val="en-US"/>
        </w:rPr>
        <w:t>1</w:t>
      </w:r>
      <w:r w:rsidRPr="009F4566">
        <w:rPr>
          <w:rFonts w:ascii="Times New Roman" w:eastAsia="Calibri" w:hAnsi="Times New Roman" w:cs="Times New Roman"/>
          <w:sz w:val="24"/>
          <w:szCs w:val="24"/>
          <w:lang w:val="en-US"/>
        </w:rPr>
        <w:t xml:space="preserve"> dBm</w:t>
      </w:r>
      <w:r>
        <w:rPr>
          <w:rFonts w:ascii="Times New Roman" w:eastAsia="Calibri" w:hAnsi="Times New Roman" w:cs="Times New Roman"/>
          <w:sz w:val="24"/>
          <w:szCs w:val="24"/>
          <w:lang w:val="en-US"/>
        </w:rPr>
        <w:t>/MHz power spectral density</w:t>
      </w:r>
      <w:r w:rsidRPr="009F456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9F456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PISC believes this is the minimum power level needed to achieve the enormous potential consumer and economic benefits of VLP, while also fully protecting band incumbents from harmful interference.</w:t>
      </w:r>
    </w:p>
    <w:p w14:paraId="1337A97D" w14:textId="3B1CB6A3" w:rsidR="0095351B" w:rsidRDefault="00BB7F47" w:rsidP="00E8411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VLP devices with sufficient power to be fully functional will prove central to the entire 5G wireless ecosystem. Widespread access everywhere to untethered, solar- or battery-powered VLP devices will </w:t>
      </w:r>
      <w:r w:rsidR="00282EE0">
        <w:rPr>
          <w:rFonts w:ascii="Times New Roman" w:eastAsia="Times New Roman" w:hAnsi="Times New Roman" w:cs="Times New Roman"/>
          <w:sz w:val="24"/>
          <w:szCs w:val="24"/>
        </w:rPr>
        <w:t>facilitate</w:t>
      </w:r>
      <w:r>
        <w:rPr>
          <w:rFonts w:ascii="Times New Roman" w:eastAsia="Times New Roman" w:hAnsi="Times New Roman" w:cs="Times New Roman"/>
          <w:sz w:val="24"/>
          <w:szCs w:val="24"/>
        </w:rPr>
        <w:t xml:space="preserve"> not </w:t>
      </w:r>
      <w:r w:rsidR="00282EE0">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Wi-Fi 6 networks, but </w:t>
      </w:r>
      <w:r w:rsidR="002D4D1D">
        <w:rPr>
          <w:rFonts w:ascii="Times New Roman" w:eastAsia="Times New Roman" w:hAnsi="Times New Roman" w:cs="Times New Roman"/>
          <w:sz w:val="24"/>
          <w:szCs w:val="24"/>
        </w:rPr>
        <w:t>will also</w:t>
      </w:r>
      <w:r>
        <w:rPr>
          <w:rFonts w:ascii="Times New Roman" w:eastAsia="Times New Roman" w:hAnsi="Times New Roman" w:cs="Times New Roman"/>
          <w:sz w:val="24"/>
          <w:szCs w:val="24"/>
        </w:rPr>
        <w:t xml:space="preserve"> more decisively make 5G mobile networks far more valuable t</w:t>
      </w:r>
      <w:r w:rsidR="00AA4B68">
        <w:rPr>
          <w:rFonts w:ascii="Times New Roman" w:eastAsia="Times New Roman" w:hAnsi="Times New Roman" w:cs="Times New Roman"/>
          <w:sz w:val="24"/>
          <w:szCs w:val="24"/>
        </w:rPr>
        <w:t xml:space="preserve">o consumers and workers alike. </w:t>
      </w:r>
      <w:r w:rsidR="0095351B">
        <w:rPr>
          <w:rFonts w:ascii="Times New Roman" w:eastAsia="Times New Roman" w:hAnsi="Times New Roman" w:cs="Times New Roman"/>
          <w:sz w:val="24"/>
          <w:szCs w:val="24"/>
        </w:rPr>
        <w:t>Just as the smartphone ignited an apps economy and a wave of innovation over the past decade, the ability to create</w:t>
      </w:r>
      <w:r w:rsidR="0095351B" w:rsidRPr="00CD7F55">
        <w:rPr>
          <w:rFonts w:ascii="Times New Roman" w:eastAsia="Times New Roman" w:hAnsi="Times New Roman" w:cs="Times New Roman"/>
          <w:sz w:val="24"/>
          <w:szCs w:val="24"/>
        </w:rPr>
        <w:t xml:space="preserve"> </w:t>
      </w:r>
      <w:r w:rsidR="0095351B">
        <w:rPr>
          <w:rFonts w:ascii="Times New Roman" w:eastAsia="Times New Roman" w:hAnsi="Times New Roman" w:cs="Times New Roman"/>
          <w:sz w:val="24"/>
          <w:szCs w:val="24"/>
        </w:rPr>
        <w:t>a ‘personal area network’ (PAN) and tether a myriad of innovative new peripheral devices to smartphones, laptops, game boxes and other sources of wireless connectivity is likely to fuel yet another wave of innovation that benefits consumers worldwide. The full potential of next generation Wi-Fi 6 cannot be realized without the complementary innovation and productivity enabled by connecting VLP devices at a fully functional power level (i.e., 14 dBm EIRP).</w:t>
      </w:r>
      <w:r>
        <w:rPr>
          <w:rFonts w:ascii="Times New Roman" w:eastAsia="Times New Roman" w:hAnsi="Times New Roman" w:cs="Times New Roman"/>
          <w:sz w:val="24"/>
          <w:szCs w:val="24"/>
        </w:rPr>
        <w:t xml:space="preserve"> In addition to everyday consumer use, we expect that peripheral VLP devices, tethered to mobile access points, will become an essential tool to increase productivity for millions of mobile </w:t>
      </w:r>
      <w:r>
        <w:rPr>
          <w:rFonts w:ascii="Times New Roman" w:eastAsia="Times New Roman" w:hAnsi="Times New Roman" w:cs="Times New Roman"/>
          <w:sz w:val="24"/>
          <w:szCs w:val="24"/>
        </w:rPr>
        <w:lastRenderedPageBreak/>
        <w:t xml:space="preserve">workers; to increase the productivity and cost-effectiveness of enterprise IoT; and also to enhance the quality of life for millions of Americans with disabilities. </w:t>
      </w:r>
    </w:p>
    <w:p w14:paraId="5A38F7E8" w14:textId="51263619" w:rsidR="00E071B1" w:rsidRDefault="00BB7F47" w:rsidP="00E071B1">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Second, </w:t>
      </w:r>
      <w:r w:rsidR="00E071B1">
        <w:rPr>
          <w:rFonts w:ascii="Times New Roman" w:eastAsia="Times New Roman" w:hAnsi="Times New Roman" w:cs="Times New Roman"/>
          <w:sz w:val="24"/>
          <w:szCs w:val="24"/>
        </w:rPr>
        <w:t xml:space="preserve">the Commission’s historic decision in April to authorize low-power, indoor-only (“LPI”) devices across the entire 6 GHz band will </w:t>
      </w:r>
      <w:r w:rsidR="00E071B1">
        <w:rPr>
          <w:rFonts w:ascii="Times New Roman" w:eastAsia="Times New Roman" w:hAnsi="Times New Roman" w:cs="Times New Roman"/>
          <w:i/>
          <w:sz w:val="24"/>
          <w:szCs w:val="24"/>
        </w:rPr>
        <w:t xml:space="preserve">potentially </w:t>
      </w:r>
      <w:r w:rsidR="00E071B1">
        <w:rPr>
          <w:rFonts w:ascii="Times New Roman" w:eastAsia="Times New Roman" w:hAnsi="Times New Roman" w:cs="Times New Roman"/>
          <w:sz w:val="24"/>
          <w:szCs w:val="24"/>
        </w:rPr>
        <w:t xml:space="preserve">make the enormous benefits of next generation Wi-Fi technology available and affordable to every home, business, school and library. However, these enormous public interest benefits will be undermined if the Commission restricts the power levels for LPI to an arbitrary level that might appear to be a “compromise” with powerful incumbents, but which in practice will make Wi-Fi routers far </w:t>
      </w:r>
      <w:r w:rsidR="00E071B1" w:rsidRPr="009E1EA1">
        <w:rPr>
          <w:rFonts w:ascii="Times New Roman" w:eastAsia="Times New Roman" w:hAnsi="Times New Roman" w:cs="Times New Roman"/>
          <w:sz w:val="24"/>
          <w:szCs w:val="24"/>
        </w:rPr>
        <w:t>more costly, complex</w:t>
      </w:r>
      <w:r w:rsidR="000229F8">
        <w:rPr>
          <w:rFonts w:ascii="Times New Roman" w:eastAsia="Times New Roman" w:hAnsi="Times New Roman" w:cs="Times New Roman"/>
          <w:sz w:val="24"/>
          <w:szCs w:val="24"/>
        </w:rPr>
        <w:t>,</w:t>
      </w:r>
      <w:r w:rsidR="00E071B1" w:rsidRPr="009E1EA1">
        <w:rPr>
          <w:rFonts w:ascii="Times New Roman" w:eastAsia="Times New Roman" w:hAnsi="Times New Roman" w:cs="Times New Roman"/>
          <w:sz w:val="24"/>
          <w:szCs w:val="24"/>
        </w:rPr>
        <w:t xml:space="preserve"> and less useful for the average household or small business.</w:t>
      </w:r>
      <w:r w:rsidR="00E071B1">
        <w:rPr>
          <w:rFonts w:ascii="Times New Roman" w:eastAsia="Times New Roman" w:hAnsi="Times New Roman" w:cs="Times New Roman"/>
          <w:sz w:val="24"/>
          <w:szCs w:val="24"/>
        </w:rPr>
        <w:t xml:space="preserve"> </w:t>
      </w:r>
      <w:r w:rsidR="00E071B1">
        <w:rPr>
          <w:rFonts w:ascii="Times New Roman" w:eastAsia="Times New Roman" w:hAnsi="Times New Roman" w:cs="Times New Roman"/>
          <w:sz w:val="24"/>
          <w:szCs w:val="24"/>
          <w:lang w:val="en-US"/>
        </w:rPr>
        <w:t>I</w:t>
      </w:r>
      <w:r w:rsidR="00E071B1" w:rsidRPr="00091C3A">
        <w:rPr>
          <w:rFonts w:ascii="Times New Roman" w:eastAsia="Times New Roman" w:hAnsi="Times New Roman" w:cs="Times New Roman"/>
          <w:sz w:val="24"/>
          <w:szCs w:val="24"/>
          <w:lang w:val="en-US"/>
        </w:rPr>
        <w:t xml:space="preserve">n the context of the current pandemic, because Wi-Fi 6 routers and devices can come to market as soon as the end of this year, </w:t>
      </w:r>
      <w:r w:rsidR="00E071B1">
        <w:rPr>
          <w:rFonts w:ascii="Times New Roman" w:eastAsia="Times New Roman" w:hAnsi="Times New Roman" w:cs="Times New Roman"/>
          <w:sz w:val="24"/>
          <w:szCs w:val="24"/>
          <w:lang w:val="en-US"/>
        </w:rPr>
        <w:t xml:space="preserve">PISC </w:t>
      </w:r>
      <w:r w:rsidR="00E071B1" w:rsidRPr="00091C3A">
        <w:rPr>
          <w:rFonts w:ascii="Times New Roman" w:eastAsia="Times New Roman" w:hAnsi="Times New Roman" w:cs="Times New Roman"/>
          <w:sz w:val="24"/>
          <w:szCs w:val="24"/>
          <w:lang w:val="en-US"/>
        </w:rPr>
        <w:t>believes it is critical that consumers and businesses have the indoor coverage they need to function well and affordably.</w:t>
      </w:r>
      <w:r w:rsidR="00E071B1" w:rsidRPr="00E071B1">
        <w:rPr>
          <w:rFonts w:ascii="Times New Roman" w:hAnsi="Times New Roman" w:cs="Times New Roman"/>
          <w:sz w:val="24"/>
          <w:szCs w:val="24"/>
        </w:rPr>
        <w:t xml:space="preserve"> </w:t>
      </w:r>
      <w:r w:rsidR="00E071B1" w:rsidRPr="009E1EA1">
        <w:rPr>
          <w:rFonts w:ascii="Times New Roman" w:hAnsi="Times New Roman" w:cs="Times New Roman"/>
          <w:sz w:val="24"/>
          <w:szCs w:val="24"/>
        </w:rPr>
        <w:t>The Commission should not pull the technical rug out from under ordinary consumers, small schools</w:t>
      </w:r>
      <w:r w:rsidR="002A7167">
        <w:rPr>
          <w:rFonts w:ascii="Times New Roman" w:hAnsi="Times New Roman" w:cs="Times New Roman"/>
          <w:sz w:val="24"/>
          <w:szCs w:val="24"/>
        </w:rPr>
        <w:t>,</w:t>
      </w:r>
      <w:r w:rsidR="00E071B1" w:rsidRPr="009E1EA1">
        <w:rPr>
          <w:rFonts w:ascii="Times New Roman" w:hAnsi="Times New Roman" w:cs="Times New Roman"/>
          <w:sz w:val="24"/>
          <w:szCs w:val="24"/>
        </w:rPr>
        <w:t xml:space="preserve"> and small businesses unless the engineering evidence in the record clearly establishes that LPI at up to 8 dBm/MHz will measurably and substantially increase the risk of harmful interference to incumbent users in the band.</w:t>
      </w:r>
    </w:p>
    <w:p w14:paraId="6B38B16F" w14:textId="08ABB4FC" w:rsidR="00FE492A" w:rsidRDefault="00FE492A" w:rsidP="00510E23">
      <w:pPr>
        <w:spacing w:line="480" w:lineRule="auto"/>
        <w:ind w:firstLine="720"/>
        <w:contextualSpacing/>
        <w:rPr>
          <w:rFonts w:ascii="Times New Roman" w:eastAsia="Times New Roman" w:hAnsi="Times New Roman" w:cs="Times New Roman"/>
          <w:sz w:val="24"/>
          <w:szCs w:val="24"/>
          <w:lang w:val="en-US"/>
        </w:rPr>
      </w:pPr>
      <w:r>
        <w:rPr>
          <w:rFonts w:ascii="Times New Roman" w:hAnsi="Times New Roman" w:cs="Times New Roman"/>
          <w:sz w:val="24"/>
          <w:szCs w:val="24"/>
        </w:rPr>
        <w:t xml:space="preserve">Third, </w:t>
      </w:r>
      <w:r>
        <w:rPr>
          <w:rFonts w:ascii="Times New Roman" w:eastAsia="Times New Roman" w:hAnsi="Times New Roman" w:cs="Times New Roman"/>
          <w:sz w:val="24"/>
          <w:szCs w:val="24"/>
          <w:lang w:val="en-US"/>
        </w:rPr>
        <w:t>PISC strongly supports the authorization of higher power limits</w:t>
      </w:r>
      <w:r w:rsidR="00E56A4E">
        <w:rPr>
          <w:rFonts w:ascii="Times New Roman" w:eastAsia="Times New Roman" w:hAnsi="Times New Roman" w:cs="Times New Roman"/>
          <w:sz w:val="24"/>
          <w:szCs w:val="24"/>
          <w:lang w:val="en-US"/>
        </w:rPr>
        <w:t xml:space="preserve"> and antenna directivity</w:t>
      </w:r>
      <w:r>
        <w:rPr>
          <w:rFonts w:ascii="Times New Roman" w:eastAsia="Times New Roman" w:hAnsi="Times New Roman" w:cs="Times New Roman"/>
          <w:sz w:val="24"/>
          <w:szCs w:val="24"/>
          <w:lang w:val="en-US"/>
        </w:rPr>
        <w:t xml:space="preserve"> for </w:t>
      </w:r>
      <w:r w:rsidR="00E56A4E">
        <w:rPr>
          <w:rFonts w:ascii="Times New Roman" w:eastAsia="Times New Roman" w:hAnsi="Times New Roman" w:cs="Times New Roman"/>
          <w:sz w:val="24"/>
          <w:szCs w:val="24"/>
          <w:lang w:val="en-US"/>
        </w:rPr>
        <w:t xml:space="preserve">fixed </w:t>
      </w:r>
      <w:r>
        <w:rPr>
          <w:rFonts w:ascii="Times New Roman" w:eastAsia="Times New Roman" w:hAnsi="Times New Roman" w:cs="Times New Roman"/>
          <w:sz w:val="24"/>
          <w:szCs w:val="24"/>
          <w:lang w:val="en-US"/>
        </w:rPr>
        <w:t>standard-p</w:t>
      </w:r>
      <w:r w:rsidR="00E56A4E">
        <w:rPr>
          <w:rFonts w:ascii="Times New Roman" w:eastAsia="Times New Roman" w:hAnsi="Times New Roman" w:cs="Times New Roman"/>
          <w:sz w:val="24"/>
          <w:szCs w:val="24"/>
          <w:lang w:val="en-US"/>
        </w:rPr>
        <w:t>ower access points</w:t>
      </w:r>
      <w:r>
        <w:rPr>
          <w:rFonts w:ascii="Times New Roman" w:eastAsia="Times New Roman" w:hAnsi="Times New Roman" w:cs="Times New Roman"/>
          <w:sz w:val="24"/>
          <w:szCs w:val="24"/>
          <w:lang w:val="en-US"/>
        </w:rPr>
        <w:t xml:space="preserve"> in the U-NII-5 and U-NII-7 bands</w:t>
      </w:r>
      <w:r w:rsidR="002A7167">
        <w:rPr>
          <w:rFonts w:ascii="Times New Roman" w:eastAsia="Times New Roman" w:hAnsi="Times New Roman" w:cs="Times New Roman"/>
          <w:sz w:val="24"/>
          <w:szCs w:val="24"/>
          <w:lang w:val="en-US"/>
        </w:rPr>
        <w:t xml:space="preserve">, whether operating </w:t>
      </w:r>
      <w:r w:rsidR="00E56A4E">
        <w:rPr>
          <w:rFonts w:ascii="Times New Roman" w:eastAsia="Times New Roman" w:hAnsi="Times New Roman" w:cs="Times New Roman"/>
          <w:sz w:val="24"/>
          <w:szCs w:val="24"/>
          <w:lang w:val="en-US"/>
        </w:rPr>
        <w:t>indoors or outdoors,</w:t>
      </w:r>
      <w:r>
        <w:rPr>
          <w:rFonts w:ascii="Times New Roman" w:eastAsia="Times New Roman" w:hAnsi="Times New Roman" w:cs="Times New Roman"/>
          <w:sz w:val="24"/>
          <w:szCs w:val="24"/>
          <w:lang w:val="en-US"/>
        </w:rPr>
        <w:t xml:space="preserve"> that </w:t>
      </w:r>
      <w:r>
        <w:rPr>
          <w:rFonts w:ascii="Times New Roman" w:hAnsi="Times New Roman" w:cs="Times New Roman"/>
          <w:sz w:val="24"/>
          <w:szCs w:val="24"/>
        </w:rPr>
        <w:t>harmonize with the rules for the U-NII-1 and U-NI</w:t>
      </w:r>
      <w:r w:rsidR="00E56A4E">
        <w:rPr>
          <w:rFonts w:ascii="Times New Roman" w:hAnsi="Times New Roman" w:cs="Times New Roman"/>
          <w:sz w:val="24"/>
          <w:szCs w:val="24"/>
        </w:rPr>
        <w:t xml:space="preserve">I-3 bands. </w:t>
      </w:r>
      <w:r w:rsidR="00510E23">
        <w:rPr>
          <w:rFonts w:ascii="Times New Roman" w:eastAsia="Times New Roman" w:hAnsi="Times New Roman" w:cs="Times New Roman"/>
          <w:sz w:val="24"/>
          <w:szCs w:val="24"/>
          <w:lang w:val="en-US"/>
        </w:rPr>
        <w:t xml:space="preserve">PISC </w:t>
      </w:r>
      <w:r w:rsidR="00510E23" w:rsidRPr="007E0E79">
        <w:rPr>
          <w:rFonts w:ascii="Times New Roman" w:eastAsia="Times New Roman" w:hAnsi="Times New Roman" w:cs="Times New Roman"/>
          <w:sz w:val="24"/>
          <w:szCs w:val="24"/>
          <w:lang w:val="en-US"/>
        </w:rPr>
        <w:t>believe</w:t>
      </w:r>
      <w:r w:rsidR="00510E23">
        <w:rPr>
          <w:rFonts w:ascii="Times New Roman" w:eastAsia="Times New Roman" w:hAnsi="Times New Roman" w:cs="Times New Roman"/>
          <w:sz w:val="24"/>
          <w:szCs w:val="24"/>
          <w:lang w:val="en-US"/>
        </w:rPr>
        <w:t>s that addressing the broadband speed and affordability gap in rural, tribal</w:t>
      </w:r>
      <w:r w:rsidR="002A7167">
        <w:rPr>
          <w:rFonts w:ascii="Times New Roman" w:eastAsia="Times New Roman" w:hAnsi="Times New Roman" w:cs="Times New Roman"/>
          <w:sz w:val="24"/>
          <w:szCs w:val="24"/>
          <w:lang w:val="en-US"/>
        </w:rPr>
        <w:t>,</w:t>
      </w:r>
      <w:r w:rsidR="00510E23">
        <w:rPr>
          <w:rFonts w:ascii="Times New Roman" w:eastAsia="Times New Roman" w:hAnsi="Times New Roman" w:cs="Times New Roman"/>
          <w:sz w:val="24"/>
          <w:szCs w:val="24"/>
          <w:lang w:val="en-US"/>
        </w:rPr>
        <w:t xml:space="preserve"> and other underserved areas is a compelling public interest that justifies harmonizing the power and antenna gain limits for standard power operations under AFC control with the current limits in U-NII-3 and/or U-NII-1. There is no reason to conclude that allowing increased power will pose a substantially greater risk to incumbent fixed microwave links if the Commission subjects </w:t>
      </w:r>
      <w:r w:rsidR="00510E23" w:rsidRPr="007E0E79">
        <w:rPr>
          <w:rFonts w:ascii="Times New Roman" w:eastAsia="Times New Roman" w:hAnsi="Times New Roman" w:cs="Times New Roman"/>
          <w:sz w:val="24"/>
          <w:szCs w:val="24"/>
          <w:lang w:val="en-US"/>
        </w:rPr>
        <w:lastRenderedPageBreak/>
        <w:t xml:space="preserve">deployments </w:t>
      </w:r>
      <w:r w:rsidR="00510E23">
        <w:rPr>
          <w:rFonts w:ascii="Times New Roman" w:eastAsia="Times New Roman" w:hAnsi="Times New Roman" w:cs="Times New Roman"/>
          <w:sz w:val="24"/>
          <w:szCs w:val="24"/>
          <w:lang w:val="en-US"/>
        </w:rPr>
        <w:t xml:space="preserve">exceeding a threshold level (i.e., 36 dBm EIRP) </w:t>
      </w:r>
      <w:r w:rsidR="00510E23" w:rsidRPr="007E0E79">
        <w:rPr>
          <w:rFonts w:ascii="Times New Roman" w:eastAsia="Times New Roman" w:hAnsi="Times New Roman" w:cs="Times New Roman"/>
          <w:sz w:val="24"/>
          <w:szCs w:val="24"/>
          <w:lang w:val="en-US"/>
        </w:rPr>
        <w:t xml:space="preserve">to </w:t>
      </w:r>
      <w:r w:rsidR="00510E23">
        <w:rPr>
          <w:rFonts w:ascii="Times New Roman" w:eastAsia="Times New Roman" w:hAnsi="Times New Roman" w:cs="Times New Roman"/>
          <w:sz w:val="24"/>
          <w:szCs w:val="24"/>
          <w:lang w:val="en-US"/>
        </w:rPr>
        <w:t>both professional installation and prior coordination and approval by a certified AFC.</w:t>
      </w:r>
    </w:p>
    <w:p w14:paraId="266C5CE3" w14:textId="7F2CEF88" w:rsidR="007867AE" w:rsidRPr="0029785C" w:rsidRDefault="00510E23" w:rsidP="0029785C">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Finally, </w:t>
      </w:r>
      <w:r w:rsidR="003E6566">
        <w:rPr>
          <w:rFonts w:ascii="Times New Roman" w:eastAsia="Times New Roman" w:hAnsi="Times New Roman" w:cs="Times New Roman"/>
          <w:sz w:val="24"/>
          <w:szCs w:val="24"/>
          <w:lang w:val="en-US"/>
        </w:rPr>
        <w:t xml:space="preserve">PISC believes </w:t>
      </w:r>
      <w:r w:rsidR="003E6566">
        <w:rPr>
          <w:rFonts w:ascii="Times New Roman" w:eastAsia="Times New Roman" w:hAnsi="Times New Roman" w:cs="Times New Roman"/>
          <w:sz w:val="24"/>
          <w:szCs w:val="24"/>
        </w:rPr>
        <w:t xml:space="preserve">the Commission’s world-leading decision in April to authorize unlicensed users to operate both indoors and outdoors at standard power under the control of a certified Automated Frequency Coordination (“AFC”) system fell short in one important respect: the </w:t>
      </w:r>
      <w:r w:rsidR="003E6566" w:rsidRPr="00F04591">
        <w:rPr>
          <w:rFonts w:ascii="Times New Roman" w:eastAsia="Times New Roman" w:hAnsi="Times New Roman" w:cs="Times New Roman"/>
          <w:i/>
          <w:sz w:val="24"/>
          <w:szCs w:val="24"/>
        </w:rPr>
        <w:t xml:space="preserve">Report and Order </w:t>
      </w:r>
      <w:r w:rsidR="003E6566" w:rsidRPr="00F04591">
        <w:rPr>
          <w:rFonts w:ascii="Times New Roman" w:eastAsia="Times New Roman" w:hAnsi="Times New Roman" w:cs="Times New Roman"/>
          <w:sz w:val="24"/>
          <w:szCs w:val="24"/>
        </w:rPr>
        <w:t>limit</w:t>
      </w:r>
      <w:r w:rsidR="003E6566">
        <w:rPr>
          <w:rFonts w:ascii="Times New Roman" w:eastAsia="Times New Roman" w:hAnsi="Times New Roman" w:cs="Times New Roman"/>
          <w:sz w:val="24"/>
          <w:szCs w:val="24"/>
        </w:rPr>
        <w:t>s</w:t>
      </w:r>
      <w:r w:rsidR="003E6566" w:rsidRPr="00F04591">
        <w:rPr>
          <w:rFonts w:ascii="Times New Roman" w:eastAsia="Times New Roman" w:hAnsi="Times New Roman" w:cs="Times New Roman"/>
          <w:sz w:val="24"/>
          <w:szCs w:val="24"/>
        </w:rPr>
        <w:t xml:space="preserve"> outdoor </w:t>
      </w:r>
      <w:r w:rsidR="003E6566">
        <w:rPr>
          <w:rFonts w:ascii="Times New Roman" w:eastAsia="Times New Roman" w:hAnsi="Times New Roman" w:cs="Times New Roman"/>
          <w:sz w:val="24"/>
          <w:szCs w:val="24"/>
        </w:rPr>
        <w:t xml:space="preserve">operations </w:t>
      </w:r>
      <w:r w:rsidR="003E6566" w:rsidRPr="00F04591">
        <w:rPr>
          <w:rFonts w:ascii="Times New Roman" w:eastAsia="Times New Roman" w:hAnsi="Times New Roman" w:cs="Times New Roman"/>
          <w:sz w:val="24"/>
          <w:szCs w:val="24"/>
        </w:rPr>
        <w:t xml:space="preserve">at </w:t>
      </w:r>
      <w:r w:rsidR="003E6566">
        <w:rPr>
          <w:rFonts w:ascii="Times New Roman" w:eastAsia="Times New Roman" w:hAnsi="Times New Roman" w:cs="Times New Roman"/>
          <w:sz w:val="24"/>
          <w:szCs w:val="24"/>
        </w:rPr>
        <w:t xml:space="preserve">power levels </w:t>
      </w:r>
      <w:r w:rsidR="003E6566" w:rsidRPr="00F04591">
        <w:rPr>
          <w:rFonts w:ascii="Times New Roman" w:eastAsia="Times New Roman" w:hAnsi="Times New Roman" w:cs="Times New Roman"/>
          <w:sz w:val="24"/>
          <w:szCs w:val="24"/>
        </w:rPr>
        <w:t xml:space="preserve">up to 36 dBm EIRP to completely </w:t>
      </w:r>
      <w:r w:rsidR="003E6566" w:rsidRPr="00F04591">
        <w:rPr>
          <w:rFonts w:ascii="Times New Roman" w:eastAsia="Times New Roman" w:hAnsi="Times New Roman" w:cs="Times New Roman"/>
          <w:i/>
          <w:sz w:val="24"/>
          <w:szCs w:val="24"/>
        </w:rPr>
        <w:t>fixed</w:t>
      </w:r>
      <w:r w:rsidR="003E6566" w:rsidRPr="00F04591">
        <w:rPr>
          <w:rFonts w:ascii="Times New Roman" w:eastAsia="Times New Roman" w:hAnsi="Times New Roman" w:cs="Times New Roman"/>
          <w:sz w:val="24"/>
          <w:szCs w:val="24"/>
        </w:rPr>
        <w:t xml:space="preserve"> access points.</w:t>
      </w:r>
      <w:r w:rsidR="003E6566">
        <w:rPr>
          <w:rFonts w:ascii="Times New Roman" w:eastAsia="Times New Roman" w:hAnsi="Times New Roman" w:cs="Times New Roman"/>
          <w:sz w:val="24"/>
          <w:szCs w:val="24"/>
        </w:rPr>
        <w:t xml:space="preserve"> </w:t>
      </w:r>
      <w:r w:rsidR="003E6566">
        <w:rPr>
          <w:rFonts w:ascii="Times New Roman" w:hAnsi="Times New Roman" w:cs="Times New Roman"/>
          <w:sz w:val="24"/>
          <w:szCs w:val="24"/>
        </w:rPr>
        <w:t xml:space="preserve">There is little doubt that the use cases for connectivity on mobile platforms will greatly benefit consumers and the economy. For example, thousands of transportation systems (e.g., buses, commuter and freight trains, autonomous truck convoys) can </w:t>
      </w:r>
      <w:r w:rsidR="007867AE">
        <w:rPr>
          <w:rFonts w:ascii="Times New Roman" w:hAnsi="Times New Roman" w:cs="Times New Roman"/>
          <w:sz w:val="24"/>
          <w:szCs w:val="24"/>
        </w:rPr>
        <w:t xml:space="preserve">give </w:t>
      </w:r>
      <w:r w:rsidR="003E6566">
        <w:rPr>
          <w:rFonts w:ascii="Times New Roman" w:hAnsi="Times New Roman" w:cs="Times New Roman"/>
          <w:sz w:val="24"/>
          <w:szCs w:val="24"/>
        </w:rPr>
        <w:t>customers access to a higher-capacity RLAN along a pre-planned route, or within certain pre-cleared areas. We urge the Commission to authorize</w:t>
      </w:r>
      <w:r w:rsidR="003E6566" w:rsidRPr="00F04591">
        <w:rPr>
          <w:rFonts w:ascii="Times New Roman" w:hAnsi="Times New Roman" w:cs="Times New Roman"/>
          <w:sz w:val="24"/>
          <w:szCs w:val="24"/>
        </w:rPr>
        <w:t xml:space="preserve"> standard-power access points, under AFC control, </w:t>
      </w:r>
      <w:r w:rsidR="003E6566">
        <w:rPr>
          <w:rFonts w:ascii="Times New Roman" w:hAnsi="Times New Roman" w:cs="Times New Roman"/>
          <w:sz w:val="24"/>
          <w:szCs w:val="24"/>
        </w:rPr>
        <w:t>for</w:t>
      </w:r>
      <w:r w:rsidR="003E6566" w:rsidRPr="00F04591">
        <w:rPr>
          <w:rFonts w:ascii="Times New Roman" w:hAnsi="Times New Roman" w:cs="Times New Roman"/>
          <w:sz w:val="24"/>
          <w:szCs w:val="24"/>
        </w:rPr>
        <w:t xml:space="preserve"> mobile applications under rules similar to those</w:t>
      </w:r>
      <w:r w:rsidR="003E6566">
        <w:rPr>
          <w:rFonts w:ascii="Times New Roman" w:hAnsi="Times New Roman" w:cs="Times New Roman"/>
          <w:sz w:val="24"/>
          <w:szCs w:val="24"/>
        </w:rPr>
        <w:t xml:space="preserve"> the Commission has proposed</w:t>
      </w:r>
      <w:r w:rsidR="003E6566" w:rsidRPr="00F04591">
        <w:rPr>
          <w:rFonts w:ascii="Times New Roman" w:hAnsi="Times New Roman" w:cs="Times New Roman"/>
          <w:sz w:val="24"/>
          <w:szCs w:val="24"/>
        </w:rPr>
        <w:t xml:space="preserve"> for personal/portable </w:t>
      </w:r>
      <w:r w:rsidR="003E6566">
        <w:rPr>
          <w:rFonts w:ascii="Times New Roman" w:hAnsi="Times New Roman" w:cs="Times New Roman"/>
          <w:sz w:val="24"/>
          <w:szCs w:val="24"/>
        </w:rPr>
        <w:t xml:space="preserve">TV </w:t>
      </w:r>
      <w:r w:rsidR="003E6566" w:rsidRPr="00F04591">
        <w:rPr>
          <w:rFonts w:ascii="Times New Roman" w:hAnsi="Times New Roman" w:cs="Times New Roman"/>
          <w:sz w:val="24"/>
          <w:szCs w:val="24"/>
        </w:rPr>
        <w:t xml:space="preserve">white space </w:t>
      </w:r>
      <w:r w:rsidR="003E6566">
        <w:rPr>
          <w:rFonts w:ascii="Times New Roman" w:hAnsi="Times New Roman" w:cs="Times New Roman"/>
          <w:sz w:val="24"/>
          <w:szCs w:val="24"/>
        </w:rPr>
        <w:t>devices.</w:t>
      </w:r>
    </w:p>
    <w:p w14:paraId="00000001" w14:textId="49063DB1" w:rsidR="006F66A8" w:rsidRPr="0029785C" w:rsidRDefault="00A757E6" w:rsidP="0029785C">
      <w:pPr>
        <w:pStyle w:val="Heading1"/>
        <w:numPr>
          <w:ilvl w:val="0"/>
          <w:numId w:val="4"/>
        </w:numPr>
        <w:rPr>
          <w:rFonts w:ascii="Times New Roman" w:hAnsi="Times New Roman" w:cs="Times New Roman"/>
          <w:b/>
          <w:sz w:val="24"/>
          <w:szCs w:val="24"/>
        </w:rPr>
      </w:pPr>
      <w:bookmarkStart w:id="1" w:name="_Toc44320727"/>
      <w:r w:rsidRPr="0029785C">
        <w:rPr>
          <w:rFonts w:ascii="Times New Roman" w:hAnsi="Times New Roman" w:cs="Times New Roman"/>
          <w:b/>
          <w:sz w:val="24"/>
          <w:szCs w:val="24"/>
        </w:rPr>
        <w:t>The Commission Should Authorize the Operation of Very-Low-Power Devices Across the Entire 6 GHz Band</w:t>
      </w:r>
      <w:bookmarkEnd w:id="1"/>
    </w:p>
    <w:p w14:paraId="00000002" w14:textId="77777777" w:rsidR="006F66A8" w:rsidRDefault="006F66A8">
      <w:pPr>
        <w:rPr>
          <w:rFonts w:ascii="Times New Roman" w:eastAsia="Times New Roman" w:hAnsi="Times New Roman" w:cs="Times New Roman"/>
          <w:sz w:val="24"/>
          <w:szCs w:val="24"/>
        </w:rPr>
      </w:pPr>
    </w:p>
    <w:p w14:paraId="6E2393F5" w14:textId="251294CA" w:rsidR="006041DA" w:rsidRPr="006041DA" w:rsidRDefault="006041DA" w:rsidP="006041D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PISC</w:t>
      </w:r>
      <w:r w:rsidR="00A757E6">
        <w:rPr>
          <w:rFonts w:ascii="Times New Roman" w:eastAsia="Times New Roman" w:hAnsi="Times New Roman" w:cs="Times New Roman"/>
          <w:sz w:val="24"/>
          <w:szCs w:val="24"/>
        </w:rPr>
        <w:t xml:space="preserve"> strongly supports the Commission’s proposal to “permit very low power devices to operate across the entirety of the 6 GH band (5.950-7.</w:t>
      </w:r>
      <w:r w:rsidR="00A757E6" w:rsidRPr="006041DA">
        <w:rPr>
          <w:rFonts w:ascii="Times New Roman" w:eastAsia="Times New Roman" w:hAnsi="Times New Roman" w:cs="Times New Roman"/>
          <w:sz w:val="24"/>
          <w:szCs w:val="24"/>
        </w:rPr>
        <w:t xml:space="preserve">125 GHz), both indoors and outdoors, without using </w:t>
      </w:r>
      <w:r w:rsidR="00A757E6" w:rsidRPr="009F4566">
        <w:rPr>
          <w:rFonts w:ascii="Times New Roman" w:eastAsia="Times New Roman" w:hAnsi="Times New Roman" w:cs="Times New Roman"/>
          <w:sz w:val="24"/>
          <w:szCs w:val="24"/>
        </w:rPr>
        <w:t>an AFC.”</w:t>
      </w:r>
      <w:r w:rsidR="00A757E6" w:rsidRPr="009F4566">
        <w:rPr>
          <w:rFonts w:ascii="Times New Roman" w:eastAsia="Times New Roman" w:hAnsi="Times New Roman" w:cs="Times New Roman"/>
          <w:sz w:val="24"/>
          <w:szCs w:val="24"/>
          <w:vertAlign w:val="superscript"/>
        </w:rPr>
        <w:footnoteReference w:id="3"/>
      </w:r>
      <w:r w:rsidR="0063481B" w:rsidRPr="009F4566">
        <w:rPr>
          <w:rFonts w:ascii="Times New Roman" w:eastAsia="Times New Roman" w:hAnsi="Times New Roman" w:cs="Times New Roman"/>
          <w:sz w:val="24"/>
          <w:szCs w:val="24"/>
        </w:rPr>
        <w:t xml:space="preserve"> </w:t>
      </w:r>
      <w:r w:rsidRPr="009F4566">
        <w:rPr>
          <w:rFonts w:ascii="Times New Roman" w:eastAsia="Calibri" w:hAnsi="Times New Roman" w:cs="Times New Roman"/>
          <w:sz w:val="24"/>
          <w:szCs w:val="24"/>
          <w:lang w:val="en-US"/>
        </w:rPr>
        <w:t xml:space="preserve">The Commission should authorize very low power (“VLP”) unlicensed devices to operate both indoors and outdoors </w:t>
      </w:r>
      <w:r w:rsidR="009F4566" w:rsidRPr="009F4566">
        <w:rPr>
          <w:rFonts w:ascii="Times New Roman" w:eastAsia="Calibri" w:hAnsi="Times New Roman" w:cs="Times New Roman"/>
          <w:sz w:val="24"/>
          <w:szCs w:val="24"/>
          <w:lang w:val="en-US"/>
        </w:rPr>
        <w:t>across the band’s entire 1200 megahertz</w:t>
      </w:r>
      <w:r w:rsidRPr="009F4566">
        <w:rPr>
          <w:rFonts w:ascii="Times New Roman" w:eastAsia="Calibri" w:hAnsi="Times New Roman" w:cs="Times New Roman"/>
          <w:sz w:val="24"/>
          <w:szCs w:val="24"/>
          <w:lang w:val="en-US"/>
        </w:rPr>
        <w:t xml:space="preserve">  at 14 dBm EIRP </w:t>
      </w:r>
      <w:r w:rsidR="009F4566" w:rsidRPr="009F4566">
        <w:rPr>
          <w:rFonts w:ascii="Times New Roman" w:eastAsia="Calibri" w:hAnsi="Times New Roman" w:cs="Times New Roman"/>
          <w:sz w:val="24"/>
          <w:szCs w:val="24"/>
          <w:lang w:val="en-US"/>
        </w:rPr>
        <w:t>(</w:t>
      </w:r>
      <w:r w:rsidRPr="009F4566">
        <w:rPr>
          <w:rFonts w:ascii="Times New Roman" w:eastAsia="Calibri" w:hAnsi="Times New Roman" w:cs="Times New Roman"/>
          <w:sz w:val="24"/>
          <w:szCs w:val="24"/>
          <w:lang w:val="en-US"/>
        </w:rPr>
        <w:t>and</w:t>
      </w:r>
      <w:r w:rsidR="00422D03">
        <w:rPr>
          <w:rFonts w:ascii="Times New Roman" w:eastAsia="Calibri" w:hAnsi="Times New Roman" w:cs="Times New Roman"/>
          <w:sz w:val="24"/>
          <w:szCs w:val="24"/>
          <w:lang w:val="en-US"/>
        </w:rPr>
        <w:t xml:space="preserve"> 1</w:t>
      </w:r>
      <w:r w:rsidR="009F4566" w:rsidRPr="009F4566">
        <w:rPr>
          <w:rFonts w:ascii="Times New Roman" w:eastAsia="Calibri" w:hAnsi="Times New Roman" w:cs="Times New Roman"/>
          <w:sz w:val="24"/>
          <w:szCs w:val="24"/>
          <w:lang w:val="en-US"/>
        </w:rPr>
        <w:t xml:space="preserve"> dBm</w:t>
      </w:r>
      <w:r w:rsidR="00422D03">
        <w:rPr>
          <w:rFonts w:ascii="Times New Roman" w:eastAsia="Calibri" w:hAnsi="Times New Roman" w:cs="Times New Roman"/>
          <w:sz w:val="24"/>
          <w:szCs w:val="24"/>
          <w:lang w:val="en-US"/>
        </w:rPr>
        <w:t>/MHz power spectral density</w:t>
      </w:r>
      <w:r w:rsidR="009F4566" w:rsidRPr="009F4566">
        <w:rPr>
          <w:rFonts w:ascii="Times New Roman" w:eastAsia="Calibri" w:hAnsi="Times New Roman" w:cs="Times New Roman"/>
          <w:sz w:val="24"/>
          <w:szCs w:val="24"/>
          <w:lang w:val="en-US"/>
        </w:rPr>
        <w:t>)</w:t>
      </w:r>
      <w:r w:rsidRPr="009F4566">
        <w:rPr>
          <w:rFonts w:ascii="Times New Roman" w:eastAsia="Calibri" w:hAnsi="Times New Roman" w:cs="Times New Roman"/>
          <w:sz w:val="24"/>
          <w:szCs w:val="24"/>
          <w:lang w:val="en-US"/>
        </w:rPr>
        <w:t xml:space="preserve"> </w:t>
      </w:r>
      <w:r w:rsidR="009F4566" w:rsidRPr="009F4566">
        <w:rPr>
          <w:rFonts w:ascii="Times New Roman" w:eastAsia="Calibri" w:hAnsi="Times New Roman" w:cs="Times New Roman"/>
          <w:sz w:val="24"/>
          <w:szCs w:val="24"/>
          <w:lang w:val="en-US"/>
        </w:rPr>
        <w:t>un</w:t>
      </w:r>
      <w:r w:rsidRPr="009F4566">
        <w:rPr>
          <w:rFonts w:ascii="Times New Roman" w:eastAsia="Calibri" w:hAnsi="Times New Roman" w:cs="Times New Roman"/>
          <w:sz w:val="24"/>
          <w:szCs w:val="24"/>
          <w:lang w:val="en-US"/>
        </w:rPr>
        <w:t>burden</w:t>
      </w:r>
      <w:r w:rsidR="009F4566" w:rsidRPr="009F4566">
        <w:rPr>
          <w:rFonts w:ascii="Times New Roman" w:eastAsia="Calibri" w:hAnsi="Times New Roman" w:cs="Times New Roman"/>
          <w:sz w:val="24"/>
          <w:szCs w:val="24"/>
          <w:lang w:val="en-US"/>
        </w:rPr>
        <w:t>ed by any requirement</w:t>
      </w:r>
      <w:r w:rsidRPr="009F4566">
        <w:rPr>
          <w:rFonts w:ascii="Times New Roman" w:eastAsia="Calibri" w:hAnsi="Times New Roman" w:cs="Times New Roman"/>
          <w:sz w:val="24"/>
          <w:szCs w:val="24"/>
          <w:lang w:val="en-US"/>
        </w:rPr>
        <w:t xml:space="preserve"> </w:t>
      </w:r>
      <w:r w:rsidR="009F4566" w:rsidRPr="009F4566">
        <w:rPr>
          <w:rFonts w:ascii="Times New Roman" w:eastAsia="Calibri" w:hAnsi="Times New Roman" w:cs="Times New Roman"/>
          <w:sz w:val="24"/>
          <w:szCs w:val="24"/>
          <w:lang w:val="en-US"/>
        </w:rPr>
        <w:t xml:space="preserve">to be under the control of </w:t>
      </w:r>
      <w:r w:rsidRPr="009F4566">
        <w:rPr>
          <w:rFonts w:ascii="Times New Roman" w:eastAsia="Calibri" w:hAnsi="Times New Roman" w:cs="Times New Roman"/>
          <w:sz w:val="24"/>
          <w:szCs w:val="24"/>
          <w:lang w:val="en-US"/>
        </w:rPr>
        <w:t>an Automated Frequency Control (“AFC”) system.</w:t>
      </w:r>
      <w:r w:rsidR="002C7067">
        <w:rPr>
          <w:rStyle w:val="FootnoteReference"/>
          <w:rFonts w:ascii="Times New Roman" w:eastAsia="Calibri" w:hAnsi="Times New Roman" w:cs="Times New Roman"/>
          <w:sz w:val="24"/>
          <w:szCs w:val="24"/>
          <w:lang w:val="en-US"/>
        </w:rPr>
        <w:footnoteReference w:id="4"/>
      </w:r>
      <w:r w:rsidR="000D4277">
        <w:rPr>
          <w:rFonts w:ascii="Times New Roman" w:eastAsia="Calibri" w:hAnsi="Times New Roman" w:cs="Times New Roman"/>
          <w:sz w:val="24"/>
          <w:szCs w:val="24"/>
          <w:lang w:val="en-US"/>
        </w:rPr>
        <w:t xml:space="preserve"> </w:t>
      </w:r>
      <w:r w:rsidR="009F4566">
        <w:rPr>
          <w:rFonts w:ascii="Times New Roman" w:eastAsia="Calibri" w:hAnsi="Times New Roman" w:cs="Times New Roman"/>
          <w:sz w:val="24"/>
          <w:szCs w:val="24"/>
          <w:lang w:val="en-US"/>
        </w:rPr>
        <w:t>PISC</w:t>
      </w:r>
      <w:r w:rsidR="00422D03">
        <w:rPr>
          <w:rFonts w:ascii="Times New Roman" w:eastAsia="Calibri" w:hAnsi="Times New Roman" w:cs="Times New Roman"/>
          <w:sz w:val="24"/>
          <w:szCs w:val="24"/>
          <w:lang w:val="en-US"/>
        </w:rPr>
        <w:t xml:space="preserve"> believes this proposal is </w:t>
      </w:r>
      <w:r w:rsidR="009F4566">
        <w:rPr>
          <w:rFonts w:ascii="Times New Roman" w:eastAsia="Calibri" w:hAnsi="Times New Roman" w:cs="Times New Roman"/>
          <w:sz w:val="24"/>
          <w:szCs w:val="24"/>
          <w:lang w:val="en-US"/>
        </w:rPr>
        <w:t xml:space="preserve">the </w:t>
      </w:r>
      <w:r w:rsidR="009F4566">
        <w:rPr>
          <w:rFonts w:ascii="Times New Roman" w:eastAsia="Calibri" w:hAnsi="Times New Roman" w:cs="Times New Roman"/>
          <w:sz w:val="24"/>
          <w:szCs w:val="24"/>
          <w:lang w:val="en-US"/>
        </w:rPr>
        <w:lastRenderedPageBreak/>
        <w:t xml:space="preserve">minimum </w:t>
      </w:r>
      <w:r w:rsidR="00422D03">
        <w:rPr>
          <w:rFonts w:ascii="Times New Roman" w:eastAsia="Calibri" w:hAnsi="Times New Roman" w:cs="Times New Roman"/>
          <w:sz w:val="24"/>
          <w:szCs w:val="24"/>
          <w:lang w:val="en-US"/>
        </w:rPr>
        <w:t xml:space="preserve">power level </w:t>
      </w:r>
      <w:r w:rsidR="009F4566">
        <w:rPr>
          <w:rFonts w:ascii="Times New Roman" w:eastAsia="Calibri" w:hAnsi="Times New Roman" w:cs="Times New Roman"/>
          <w:sz w:val="24"/>
          <w:szCs w:val="24"/>
          <w:lang w:val="en-US"/>
        </w:rPr>
        <w:t>needed to achieve the enormous potential consumer and economic benefits of VLP, while also fully protecting band incumbents from harmful interference.</w:t>
      </w:r>
    </w:p>
    <w:p w14:paraId="787718C2" w14:textId="36FE36B0" w:rsidR="0063481B" w:rsidRDefault="00422D03" w:rsidP="006041D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VLP </w:t>
      </w:r>
      <w:r w:rsidR="00A757E6" w:rsidRPr="006041DA">
        <w:rPr>
          <w:rFonts w:ascii="Times New Roman" w:eastAsia="Times New Roman" w:hAnsi="Times New Roman" w:cs="Times New Roman"/>
          <w:sz w:val="24"/>
          <w:szCs w:val="24"/>
        </w:rPr>
        <w:t>devices are able to</w:t>
      </w:r>
      <w:r w:rsidR="00A757E6">
        <w:rPr>
          <w:rFonts w:ascii="Times New Roman" w:eastAsia="Times New Roman" w:hAnsi="Times New Roman" w:cs="Times New Roman"/>
          <w:sz w:val="24"/>
          <w:szCs w:val="24"/>
        </w:rPr>
        <w:t xml:space="preserve"> operate across all four </w:t>
      </w:r>
      <w:r w:rsidR="0063481B">
        <w:rPr>
          <w:rFonts w:ascii="Times New Roman" w:eastAsia="Times New Roman" w:hAnsi="Times New Roman" w:cs="Times New Roman"/>
          <w:sz w:val="24"/>
          <w:szCs w:val="24"/>
        </w:rPr>
        <w:t xml:space="preserve">6 GHz </w:t>
      </w:r>
      <w:r w:rsidR="00A757E6">
        <w:rPr>
          <w:rFonts w:ascii="Times New Roman" w:eastAsia="Times New Roman" w:hAnsi="Times New Roman" w:cs="Times New Roman"/>
          <w:sz w:val="24"/>
          <w:szCs w:val="24"/>
        </w:rPr>
        <w:t>sub-bands</w:t>
      </w:r>
      <w:r>
        <w:rPr>
          <w:rFonts w:ascii="Times New Roman" w:eastAsia="Times New Roman" w:hAnsi="Times New Roman" w:cs="Times New Roman"/>
          <w:sz w:val="24"/>
          <w:szCs w:val="24"/>
        </w:rPr>
        <w:t xml:space="preserve">, </w:t>
      </w:r>
      <w:r w:rsidR="0063481B">
        <w:rPr>
          <w:rFonts w:ascii="Times New Roman" w:eastAsia="Times New Roman" w:hAnsi="Times New Roman" w:cs="Times New Roman"/>
          <w:sz w:val="24"/>
          <w:szCs w:val="24"/>
        </w:rPr>
        <w:t xml:space="preserve">both outdoors and indoors, </w:t>
      </w:r>
      <w:r w:rsidR="003D3CDE">
        <w:rPr>
          <w:rFonts w:ascii="Times New Roman" w:eastAsia="Times New Roman" w:hAnsi="Times New Roman" w:cs="Times New Roman"/>
          <w:sz w:val="24"/>
          <w:szCs w:val="24"/>
        </w:rPr>
        <w:t>is crucial to ensure that</w:t>
      </w:r>
      <w:r w:rsidR="00A757E6">
        <w:rPr>
          <w:rFonts w:ascii="Times New Roman" w:eastAsia="Times New Roman" w:hAnsi="Times New Roman" w:cs="Times New Roman"/>
          <w:sz w:val="24"/>
          <w:szCs w:val="24"/>
        </w:rPr>
        <w:t xml:space="preserve"> the next-generation of 5G</w:t>
      </w:r>
      <w:r w:rsidR="0063481B">
        <w:rPr>
          <w:rFonts w:ascii="Times New Roman" w:eastAsia="Times New Roman" w:hAnsi="Times New Roman" w:cs="Times New Roman"/>
          <w:sz w:val="24"/>
          <w:szCs w:val="24"/>
        </w:rPr>
        <w:t>-</w:t>
      </w:r>
      <w:r w:rsidR="00A757E6">
        <w:rPr>
          <w:rFonts w:ascii="Times New Roman" w:eastAsia="Times New Roman" w:hAnsi="Times New Roman" w:cs="Times New Roman"/>
          <w:sz w:val="24"/>
          <w:szCs w:val="24"/>
        </w:rPr>
        <w:t xml:space="preserve"> and Wi-Fi-powered use cases are able to thrive</w:t>
      </w:r>
      <w:r w:rsidR="0063481B">
        <w:rPr>
          <w:rFonts w:ascii="Times New Roman" w:eastAsia="Times New Roman" w:hAnsi="Times New Roman" w:cs="Times New Roman"/>
          <w:sz w:val="24"/>
          <w:szCs w:val="24"/>
        </w:rPr>
        <w:t xml:space="preserve"> and benefit consumers</w:t>
      </w:r>
      <w:r w:rsidR="00A757E6">
        <w:rPr>
          <w:rFonts w:ascii="Times New Roman" w:eastAsia="Times New Roman" w:hAnsi="Times New Roman" w:cs="Times New Roman"/>
          <w:sz w:val="24"/>
          <w:szCs w:val="24"/>
        </w:rPr>
        <w:t xml:space="preserve">. </w:t>
      </w:r>
      <w:r w:rsidR="00F163A3">
        <w:rPr>
          <w:rFonts w:ascii="Times New Roman" w:eastAsia="Times New Roman" w:hAnsi="Times New Roman" w:cs="Times New Roman"/>
          <w:sz w:val="24"/>
          <w:szCs w:val="24"/>
        </w:rPr>
        <w:t>Just a</w:t>
      </w:r>
      <w:r w:rsidR="00597CC6">
        <w:rPr>
          <w:rFonts w:ascii="Times New Roman" w:eastAsia="Times New Roman" w:hAnsi="Times New Roman" w:cs="Times New Roman"/>
          <w:sz w:val="24"/>
          <w:szCs w:val="24"/>
        </w:rPr>
        <w:t>s the smartphone ignited an app</w:t>
      </w:r>
      <w:r w:rsidR="00F163A3">
        <w:rPr>
          <w:rFonts w:ascii="Times New Roman" w:eastAsia="Times New Roman" w:hAnsi="Times New Roman" w:cs="Times New Roman"/>
          <w:sz w:val="24"/>
          <w:szCs w:val="24"/>
        </w:rPr>
        <w:t xml:space="preserve"> economy and a wave of innovation over the past decade, the ability to</w:t>
      </w:r>
      <w:r w:rsidR="00CD7F55">
        <w:rPr>
          <w:rFonts w:ascii="Times New Roman" w:eastAsia="Times New Roman" w:hAnsi="Times New Roman" w:cs="Times New Roman"/>
          <w:sz w:val="24"/>
          <w:szCs w:val="24"/>
        </w:rPr>
        <w:t xml:space="preserve"> create</w:t>
      </w:r>
      <w:r w:rsidR="00CD7F55" w:rsidRPr="00CD7F55">
        <w:rPr>
          <w:rFonts w:ascii="Times New Roman" w:eastAsia="Times New Roman" w:hAnsi="Times New Roman" w:cs="Times New Roman"/>
          <w:sz w:val="24"/>
          <w:szCs w:val="24"/>
        </w:rPr>
        <w:t xml:space="preserve"> </w:t>
      </w:r>
      <w:r w:rsidR="00CD7F55">
        <w:rPr>
          <w:rFonts w:ascii="Times New Roman" w:eastAsia="Times New Roman" w:hAnsi="Times New Roman" w:cs="Times New Roman"/>
          <w:sz w:val="24"/>
          <w:szCs w:val="24"/>
        </w:rPr>
        <w:t>a ‘personal area network’ (PAN) and</w:t>
      </w:r>
      <w:r w:rsidR="00F163A3">
        <w:rPr>
          <w:rFonts w:ascii="Times New Roman" w:eastAsia="Times New Roman" w:hAnsi="Times New Roman" w:cs="Times New Roman"/>
          <w:sz w:val="24"/>
          <w:szCs w:val="24"/>
        </w:rPr>
        <w:t xml:space="preserve"> tether a myriad of innovative new peripheral devices to smartphones, laptops, game boxes</w:t>
      </w:r>
      <w:r w:rsidR="00597CC6">
        <w:rPr>
          <w:rFonts w:ascii="Times New Roman" w:eastAsia="Times New Roman" w:hAnsi="Times New Roman" w:cs="Times New Roman"/>
          <w:sz w:val="24"/>
          <w:szCs w:val="24"/>
        </w:rPr>
        <w:t>,</w:t>
      </w:r>
      <w:r w:rsidR="00F163A3">
        <w:rPr>
          <w:rFonts w:ascii="Times New Roman" w:eastAsia="Times New Roman" w:hAnsi="Times New Roman" w:cs="Times New Roman"/>
          <w:sz w:val="24"/>
          <w:szCs w:val="24"/>
        </w:rPr>
        <w:t xml:space="preserve"> and other sources of wireless connectivity is likely to fuel yet another wave of innovation that benefits consumers worldwide.</w:t>
      </w:r>
      <w:r w:rsidR="00597CC6">
        <w:rPr>
          <w:rFonts w:ascii="Times New Roman" w:eastAsia="Times New Roman" w:hAnsi="Times New Roman" w:cs="Times New Roman"/>
          <w:sz w:val="24"/>
          <w:szCs w:val="24"/>
        </w:rPr>
        <w:t xml:space="preserve"> The full potential of next-</w:t>
      </w:r>
      <w:r w:rsidR="00CD7F55">
        <w:rPr>
          <w:rFonts w:ascii="Times New Roman" w:eastAsia="Times New Roman" w:hAnsi="Times New Roman" w:cs="Times New Roman"/>
          <w:sz w:val="24"/>
          <w:szCs w:val="24"/>
        </w:rPr>
        <w:t>generation Wi-Fi 6 cannot be realized without the complementary innovation and productivity enabled by connecting VLP devices</w:t>
      </w:r>
      <w:r>
        <w:rPr>
          <w:rFonts w:ascii="Times New Roman" w:eastAsia="Times New Roman" w:hAnsi="Times New Roman" w:cs="Times New Roman"/>
          <w:sz w:val="24"/>
          <w:szCs w:val="24"/>
        </w:rPr>
        <w:t xml:space="preserve"> at a fully functional power level (i.e., 14 dBm EIRP)</w:t>
      </w:r>
      <w:r w:rsidR="00CD7F55">
        <w:rPr>
          <w:rFonts w:ascii="Times New Roman" w:eastAsia="Times New Roman" w:hAnsi="Times New Roman" w:cs="Times New Roman"/>
          <w:sz w:val="24"/>
          <w:szCs w:val="24"/>
        </w:rPr>
        <w:t>.</w:t>
      </w:r>
    </w:p>
    <w:p w14:paraId="0704D9D4" w14:textId="68E59D5C" w:rsidR="003D3CDE" w:rsidRDefault="00A757E6" w:rsidP="0063481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requests comment on the </w:t>
      </w:r>
      <w:r w:rsidR="00F163A3">
        <w:rPr>
          <w:rFonts w:ascii="Times New Roman" w:eastAsia="Times New Roman" w:hAnsi="Times New Roman" w:cs="Times New Roman"/>
          <w:sz w:val="24"/>
          <w:szCs w:val="24"/>
        </w:rPr>
        <w:t>likely use cases for</w:t>
      </w:r>
      <w:r>
        <w:rPr>
          <w:rFonts w:ascii="Times New Roman" w:eastAsia="Times New Roman" w:hAnsi="Times New Roman" w:cs="Times New Roman"/>
          <w:sz w:val="24"/>
          <w:szCs w:val="24"/>
        </w:rPr>
        <w:t xml:space="preserve"> VLP devices</w:t>
      </w:r>
      <w:r w:rsidR="00F163A3">
        <w:rPr>
          <w:rFonts w:ascii="Times New Roman" w:eastAsia="Times New Roman" w:hAnsi="Times New Roman" w:cs="Times New Roman"/>
          <w:sz w:val="24"/>
          <w:szCs w:val="24"/>
        </w:rPr>
        <w:t xml:space="preserve"> and the resulting benefits for the American public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sidR="00F163A3">
        <w:rPr>
          <w:rFonts w:ascii="Times New Roman" w:eastAsia="Times New Roman" w:hAnsi="Times New Roman" w:cs="Times New Roman"/>
          <w:sz w:val="24"/>
          <w:szCs w:val="24"/>
        </w:rPr>
        <w:t xml:space="preserve"> These use </w:t>
      </w:r>
      <w:r>
        <w:rPr>
          <w:rFonts w:ascii="Times New Roman" w:eastAsia="Times New Roman" w:hAnsi="Times New Roman" w:cs="Times New Roman"/>
          <w:sz w:val="24"/>
          <w:szCs w:val="24"/>
        </w:rPr>
        <w:t xml:space="preserve">cases </w:t>
      </w:r>
      <w:r w:rsidR="00F163A3">
        <w:rPr>
          <w:rFonts w:ascii="Times New Roman" w:eastAsia="Times New Roman" w:hAnsi="Times New Roman" w:cs="Times New Roman"/>
          <w:sz w:val="24"/>
          <w:szCs w:val="24"/>
        </w:rPr>
        <w:t xml:space="preserve">most obviously include a wide </w:t>
      </w:r>
      <w:r>
        <w:rPr>
          <w:rFonts w:ascii="Times New Roman" w:eastAsia="Times New Roman" w:hAnsi="Times New Roman" w:cs="Times New Roman"/>
          <w:sz w:val="24"/>
          <w:szCs w:val="24"/>
        </w:rPr>
        <w:t xml:space="preserve">range </w:t>
      </w:r>
      <w:r w:rsidR="008D1EDE">
        <w:rPr>
          <w:rFonts w:ascii="Times New Roman" w:eastAsia="Times New Roman" w:hAnsi="Times New Roman" w:cs="Times New Roman"/>
          <w:sz w:val="24"/>
          <w:szCs w:val="24"/>
        </w:rPr>
        <w:t>of applications leveraging</w:t>
      </w:r>
      <w:r>
        <w:rPr>
          <w:rFonts w:ascii="Times New Roman" w:eastAsia="Times New Roman" w:hAnsi="Times New Roman" w:cs="Times New Roman"/>
          <w:sz w:val="24"/>
          <w:szCs w:val="24"/>
        </w:rPr>
        <w:t xml:space="preserve"> augmented reality (AR) and virtual reality (VR) </w:t>
      </w:r>
      <w:r w:rsidR="00F163A3">
        <w:rPr>
          <w:rFonts w:ascii="Times New Roman" w:eastAsia="Times New Roman" w:hAnsi="Times New Roman" w:cs="Times New Roman"/>
          <w:sz w:val="24"/>
          <w:szCs w:val="24"/>
        </w:rPr>
        <w:t>that will promote</w:t>
      </w:r>
      <w:r>
        <w:rPr>
          <w:rFonts w:ascii="Times New Roman" w:eastAsia="Times New Roman" w:hAnsi="Times New Roman" w:cs="Times New Roman"/>
          <w:sz w:val="24"/>
          <w:szCs w:val="24"/>
        </w:rPr>
        <w:t xml:space="preserve"> educa</w:t>
      </w:r>
      <w:r w:rsidR="00F163A3">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t xml:space="preserve">gaming, </w:t>
      </w:r>
      <w:r w:rsidR="00F163A3">
        <w:rPr>
          <w:rFonts w:ascii="Times New Roman" w:eastAsia="Times New Roman" w:hAnsi="Times New Roman" w:cs="Times New Roman"/>
          <w:sz w:val="24"/>
          <w:szCs w:val="24"/>
        </w:rPr>
        <w:t xml:space="preserve">recreation, health care, </w:t>
      </w:r>
      <w:r>
        <w:rPr>
          <w:rFonts w:ascii="Times New Roman" w:eastAsia="Times New Roman" w:hAnsi="Times New Roman" w:cs="Times New Roman"/>
          <w:sz w:val="24"/>
          <w:szCs w:val="24"/>
        </w:rPr>
        <w:t>vehicl</w:t>
      </w:r>
      <w:r w:rsidR="00F163A3">
        <w:rPr>
          <w:rFonts w:ascii="Times New Roman" w:eastAsia="Times New Roman" w:hAnsi="Times New Roman" w:cs="Times New Roman"/>
          <w:sz w:val="24"/>
          <w:szCs w:val="24"/>
        </w:rPr>
        <w:t>e-based technologies, and many other verticals</w:t>
      </w:r>
      <w:r>
        <w:rPr>
          <w:rFonts w:ascii="Times New Roman" w:eastAsia="Times New Roman" w:hAnsi="Times New Roman" w:cs="Times New Roman"/>
          <w:sz w:val="24"/>
          <w:szCs w:val="24"/>
        </w:rPr>
        <w:t xml:space="preserve">. </w:t>
      </w:r>
      <w:r w:rsidR="003D3CDE">
        <w:rPr>
          <w:rFonts w:ascii="Times New Roman" w:eastAsia="Times New Roman" w:hAnsi="Times New Roman" w:cs="Times New Roman"/>
          <w:sz w:val="24"/>
          <w:szCs w:val="24"/>
        </w:rPr>
        <w:t>Peripheral VLP devices, tethered to mobile access points, will become an essential tool to increase produc</w:t>
      </w:r>
      <w:r w:rsidR="008D1EDE">
        <w:rPr>
          <w:rFonts w:ascii="Times New Roman" w:eastAsia="Times New Roman" w:hAnsi="Times New Roman" w:cs="Times New Roman"/>
          <w:sz w:val="24"/>
          <w:szCs w:val="24"/>
        </w:rPr>
        <w:t>tivity for</w:t>
      </w:r>
      <w:r w:rsidR="003D3CDE">
        <w:rPr>
          <w:rFonts w:ascii="Times New Roman" w:eastAsia="Times New Roman" w:hAnsi="Times New Roman" w:cs="Times New Roman"/>
          <w:sz w:val="24"/>
          <w:szCs w:val="24"/>
        </w:rPr>
        <w:t xml:space="preserve"> millions of mobile workers, from repair and maintenance, to delivery services and public safety. Millions of people with disabilities will almost certainly benefit as wearable and possibly even implantable VLP devices assist them more readily with everyday tasks, enhancing their quality of life. Remote monitoring and enterprise IoT will be more robust, cost-effective and innovative with the capability </w:t>
      </w:r>
      <w:r w:rsidR="00597CC6">
        <w:rPr>
          <w:rFonts w:ascii="Times New Roman" w:eastAsia="Times New Roman" w:hAnsi="Times New Roman" w:cs="Times New Roman"/>
          <w:sz w:val="24"/>
          <w:szCs w:val="24"/>
        </w:rPr>
        <w:t>to tether VLP devices to nearby</w:t>
      </w:r>
      <w:r w:rsidR="003D3CDE">
        <w:rPr>
          <w:rFonts w:ascii="Times New Roman" w:eastAsia="Times New Roman" w:hAnsi="Times New Roman" w:cs="Times New Roman"/>
          <w:sz w:val="24"/>
          <w:szCs w:val="24"/>
        </w:rPr>
        <w:t xml:space="preserve"> Wi-Fi enabled access points.</w:t>
      </w:r>
    </w:p>
    <w:p w14:paraId="00000003" w14:textId="6E328079" w:rsidR="006F66A8" w:rsidRDefault="003D3CDE" w:rsidP="0063481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PISC fully agrees with</w:t>
      </w:r>
      <w:r w:rsidR="00A757E6">
        <w:rPr>
          <w:rFonts w:ascii="Times New Roman" w:eastAsia="Times New Roman" w:hAnsi="Times New Roman" w:cs="Times New Roman"/>
          <w:sz w:val="24"/>
          <w:szCs w:val="24"/>
        </w:rPr>
        <w:t xml:space="preserve"> Apple, Broadcom, Cisco, Facebook, Google, Intel, Marvell Semiconductor, and</w:t>
      </w:r>
      <w:r w:rsidR="00F163A3">
        <w:rPr>
          <w:rFonts w:ascii="Times New Roman" w:eastAsia="Times New Roman" w:hAnsi="Times New Roman" w:cs="Times New Roman"/>
          <w:sz w:val="24"/>
          <w:szCs w:val="24"/>
        </w:rPr>
        <w:t xml:space="preserve"> Qualcomm </w:t>
      </w:r>
      <w:r>
        <w:rPr>
          <w:rFonts w:ascii="Times New Roman" w:eastAsia="Times New Roman" w:hAnsi="Times New Roman" w:cs="Times New Roman"/>
          <w:sz w:val="24"/>
          <w:szCs w:val="24"/>
        </w:rPr>
        <w:t>that “w</w:t>
      </w:r>
      <w:r w:rsidR="00A757E6">
        <w:rPr>
          <w:rFonts w:ascii="Times New Roman" w:eastAsia="Times New Roman" w:hAnsi="Times New Roman" w:cs="Times New Roman"/>
          <w:sz w:val="24"/>
          <w:szCs w:val="24"/>
        </w:rPr>
        <w:t>hile VLP will not support traditional access points, this device class will be critical for supporting indoor and outdoor portable use cases such as wearable peripherals including AR/VR and other ‘personal-area-network’ applications. Without usable VLP rules, it is unlikely that such devices will be practical in the near term due to the lack of the wide channels needed for low latency applications for outdoor use.”</w:t>
      </w:r>
      <w:r w:rsidR="00A757E6">
        <w:rPr>
          <w:rFonts w:ascii="Times New Roman" w:eastAsia="Times New Roman" w:hAnsi="Times New Roman" w:cs="Times New Roman"/>
          <w:sz w:val="24"/>
          <w:szCs w:val="24"/>
          <w:vertAlign w:val="superscript"/>
        </w:rPr>
        <w:footnoteReference w:id="6"/>
      </w:r>
      <w:r w:rsidR="00A757E6">
        <w:rPr>
          <w:rFonts w:ascii="Times New Roman" w:eastAsia="Times New Roman" w:hAnsi="Times New Roman" w:cs="Times New Roman"/>
          <w:sz w:val="24"/>
          <w:szCs w:val="24"/>
        </w:rPr>
        <w:t xml:space="preserve"> </w:t>
      </w:r>
      <w:r w:rsidR="00597CC6">
        <w:rPr>
          <w:rFonts w:ascii="Times New Roman" w:eastAsia="Times New Roman" w:hAnsi="Times New Roman" w:cs="Times New Roman"/>
          <w:sz w:val="24"/>
          <w:szCs w:val="24"/>
        </w:rPr>
        <w:t>PISC</w:t>
      </w:r>
      <w:r w:rsidR="00A757E6">
        <w:rPr>
          <w:rFonts w:ascii="Times New Roman" w:eastAsia="Times New Roman" w:hAnsi="Times New Roman" w:cs="Times New Roman"/>
          <w:sz w:val="24"/>
          <w:szCs w:val="24"/>
        </w:rPr>
        <w:t xml:space="preserve"> agrees with the</w:t>
      </w:r>
      <w:r w:rsidR="00DF0BDE">
        <w:rPr>
          <w:rFonts w:ascii="Times New Roman" w:eastAsia="Times New Roman" w:hAnsi="Times New Roman" w:cs="Times New Roman"/>
          <w:sz w:val="24"/>
          <w:szCs w:val="24"/>
        </w:rPr>
        <w:t xml:space="preserve"> high-tech</w:t>
      </w:r>
      <w:r w:rsidR="00A757E6">
        <w:rPr>
          <w:rFonts w:ascii="Times New Roman" w:eastAsia="Times New Roman" w:hAnsi="Times New Roman" w:cs="Times New Roman"/>
          <w:sz w:val="24"/>
          <w:szCs w:val="24"/>
        </w:rPr>
        <w:t xml:space="preserve"> RLAN Group</w:t>
      </w:r>
      <w:r w:rsidR="00DF0BDE">
        <w:rPr>
          <w:rFonts w:ascii="Times New Roman" w:eastAsia="Times New Roman" w:hAnsi="Times New Roman" w:cs="Times New Roman"/>
          <w:sz w:val="24"/>
          <w:szCs w:val="24"/>
        </w:rPr>
        <w:t xml:space="preserve"> that</w:t>
      </w:r>
      <w:r w:rsidR="00A757E6">
        <w:rPr>
          <w:rFonts w:ascii="Times New Roman" w:eastAsia="Times New Roman" w:hAnsi="Times New Roman" w:cs="Times New Roman"/>
          <w:sz w:val="24"/>
          <w:szCs w:val="24"/>
        </w:rPr>
        <w:t xml:space="preserve"> “</w:t>
      </w:r>
      <w:r w:rsidR="00DF0BDE">
        <w:rPr>
          <w:rFonts w:ascii="Times New Roman" w:eastAsia="Times New Roman" w:hAnsi="Times New Roman" w:cs="Times New Roman"/>
          <w:sz w:val="24"/>
          <w:szCs w:val="24"/>
        </w:rPr>
        <w:t>[t]</w:t>
      </w:r>
      <w:r w:rsidR="00A757E6">
        <w:rPr>
          <w:rFonts w:ascii="Times New Roman" w:eastAsia="Times New Roman" w:hAnsi="Times New Roman" w:cs="Times New Roman"/>
          <w:sz w:val="24"/>
          <w:szCs w:val="24"/>
        </w:rPr>
        <w:t>he Commission can facilitate more rapid investment and innovation in the band by adopting rules to allow VLP use, without creating any additional risk of harmful interference to licensed incumbent services.”</w:t>
      </w:r>
      <w:r w:rsidR="00A757E6">
        <w:rPr>
          <w:rFonts w:ascii="Times New Roman" w:eastAsia="Times New Roman" w:hAnsi="Times New Roman" w:cs="Times New Roman"/>
          <w:sz w:val="24"/>
          <w:szCs w:val="24"/>
          <w:vertAlign w:val="superscript"/>
        </w:rPr>
        <w:footnoteReference w:id="7"/>
      </w:r>
    </w:p>
    <w:p w14:paraId="00000005" w14:textId="143868CE" w:rsidR="006F66A8" w:rsidRDefault="00A757E6" w:rsidP="00DF0BD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r w:rsidR="00DF0BDE">
        <w:rPr>
          <w:rFonts w:ascii="Times New Roman" w:eastAsia="Times New Roman" w:hAnsi="Times New Roman" w:cs="Times New Roman"/>
          <w:sz w:val="24"/>
          <w:szCs w:val="24"/>
        </w:rPr>
        <w:t>already ample</w:t>
      </w:r>
      <w:r>
        <w:rPr>
          <w:rFonts w:ascii="Times New Roman" w:eastAsia="Times New Roman" w:hAnsi="Times New Roman" w:cs="Times New Roman"/>
          <w:sz w:val="24"/>
          <w:szCs w:val="24"/>
        </w:rPr>
        <w:t xml:space="preserve"> support in the record </w:t>
      </w:r>
      <w:r w:rsidR="00DF0BD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importance of rules enabling VLP operations across the entire</w:t>
      </w:r>
      <w:r w:rsidR="006446F1">
        <w:rPr>
          <w:rFonts w:ascii="Times New Roman" w:eastAsia="Times New Roman" w:hAnsi="Times New Roman" w:cs="Times New Roman"/>
          <w:sz w:val="24"/>
          <w:szCs w:val="24"/>
        </w:rPr>
        <w:t xml:space="preserve"> 6 GHz band</w:t>
      </w:r>
      <w:r>
        <w:rPr>
          <w:rFonts w:ascii="Times New Roman" w:eastAsia="Times New Roman" w:hAnsi="Times New Roman" w:cs="Times New Roman"/>
          <w:sz w:val="24"/>
          <w:szCs w:val="24"/>
        </w:rPr>
        <w:t>.</w:t>
      </w:r>
      <w:r w:rsidR="006446F1">
        <w:rPr>
          <w:rFonts w:ascii="Times New Roman" w:eastAsia="Times New Roman" w:hAnsi="Times New Roman" w:cs="Times New Roman"/>
          <w:sz w:val="24"/>
          <w:szCs w:val="24"/>
        </w:rPr>
        <w:t xml:space="preserve"> As Chairman Pai recently explained</w:t>
      </w:r>
      <w:r>
        <w:rPr>
          <w:rFonts w:ascii="Times New Roman" w:eastAsia="Times New Roman" w:hAnsi="Times New Roman" w:cs="Times New Roman"/>
          <w:sz w:val="24"/>
          <w:szCs w:val="24"/>
        </w:rPr>
        <w:t>:</w:t>
      </w:r>
    </w:p>
    <w:p w14:paraId="00000006" w14:textId="0CE8E8A3" w:rsidR="006F66A8" w:rsidRDefault="00A757E6">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Very-low-power devices could enable a new and innovative generation of personal area network technologies with low latency, high capacity, and all-day battery life. These very-low-power devices could include accessibility technology for Americans with disabilities, virtual reality gaming, augmented reality glasses, in-vehicle systems, and other emerging technologies. We don’t really know what this would lead to. And that’s kind of the point with unlicensed innovation, isn’t it? We want to set the building blocks in place so that engineers and technologists out there can figure out what it cou</w:t>
      </w:r>
      <w:r w:rsidR="006446F1">
        <w:rPr>
          <w:rFonts w:ascii="Times New Roman" w:eastAsia="Times New Roman" w:hAnsi="Times New Roman" w:cs="Times New Roman"/>
          <w:sz w:val="24"/>
          <w:szCs w:val="24"/>
        </w:rPr>
        <w:t>ld mean for American consumers.</w:t>
      </w:r>
      <w:r>
        <w:rPr>
          <w:rFonts w:ascii="Times New Roman" w:eastAsia="Times New Roman" w:hAnsi="Times New Roman" w:cs="Times New Roman"/>
          <w:sz w:val="24"/>
          <w:szCs w:val="24"/>
          <w:vertAlign w:val="superscript"/>
        </w:rPr>
        <w:footnoteReference w:id="8"/>
      </w:r>
    </w:p>
    <w:p w14:paraId="00000007" w14:textId="77777777" w:rsidR="006F66A8" w:rsidRDefault="006F66A8">
      <w:pPr>
        <w:rPr>
          <w:rFonts w:ascii="Times New Roman" w:eastAsia="Times New Roman" w:hAnsi="Times New Roman" w:cs="Times New Roman"/>
          <w:sz w:val="24"/>
          <w:szCs w:val="24"/>
        </w:rPr>
      </w:pPr>
    </w:p>
    <w:p w14:paraId="581A742B" w14:textId="7F154BDC" w:rsidR="009A08C6" w:rsidRDefault="009A08C6" w:rsidP="009A08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reality and augmented reality in particular could fuel revolutionary new use cases for work, education, recreation and myriad other scenarios. A decade from now we will look </w:t>
      </w:r>
      <w:r>
        <w:rPr>
          <w:rFonts w:ascii="Times New Roman" w:eastAsia="Times New Roman" w:hAnsi="Times New Roman" w:cs="Times New Roman"/>
          <w:sz w:val="24"/>
          <w:szCs w:val="24"/>
        </w:rPr>
        <w:lastRenderedPageBreak/>
        <w:t xml:space="preserve">back and chuckle at the memory of today’s head-down horde of commuters, sports fans, vehicle passengers, mobile workers and others who can only access the benefit of wireless connectivity by </w:t>
      </w:r>
      <w:r w:rsidR="00423669">
        <w:rPr>
          <w:rFonts w:ascii="Times New Roman" w:eastAsia="Times New Roman" w:hAnsi="Times New Roman" w:cs="Times New Roman"/>
          <w:sz w:val="24"/>
          <w:szCs w:val="24"/>
        </w:rPr>
        <w:t>staring down at a tiny screen—</w:t>
      </w:r>
      <w:r>
        <w:rPr>
          <w:rFonts w:ascii="Times New Roman" w:eastAsia="Times New Roman" w:hAnsi="Times New Roman" w:cs="Times New Roman"/>
          <w:sz w:val="24"/>
          <w:szCs w:val="24"/>
        </w:rPr>
        <w:t>even if that means tripping over curbs, or missing a big play at the ball game. One of the most obvious consumer benefits of authorizing VLP peripherals will be that tens of millions of fans attending sporting and cultural events can keep their eyes on the live action while receiving t</w:t>
      </w:r>
      <w:r w:rsidR="00423669">
        <w:rPr>
          <w:rFonts w:ascii="Times New Roman" w:eastAsia="Times New Roman" w:hAnsi="Times New Roman" w:cs="Times New Roman"/>
          <w:sz w:val="24"/>
          <w:szCs w:val="24"/>
        </w:rPr>
        <w:t>heir choice of AR information—</w:t>
      </w:r>
      <w:r>
        <w:rPr>
          <w:rFonts w:ascii="Times New Roman" w:eastAsia="Times New Roman" w:hAnsi="Times New Roman" w:cs="Times New Roman"/>
          <w:sz w:val="24"/>
          <w:szCs w:val="24"/>
        </w:rPr>
        <w:t>statistics, replays, messages from fellow fan</w:t>
      </w:r>
      <w:r w:rsidR="00423669">
        <w:rPr>
          <w:rFonts w:ascii="Times New Roman" w:eastAsia="Times New Roman" w:hAnsi="Times New Roman" w:cs="Times New Roman"/>
          <w:sz w:val="24"/>
          <w:szCs w:val="24"/>
        </w:rPr>
        <w:t>s—</w:t>
      </w:r>
      <w:r>
        <w:rPr>
          <w:rFonts w:ascii="Times New Roman" w:eastAsia="Times New Roman" w:hAnsi="Times New Roman" w:cs="Times New Roman"/>
          <w:sz w:val="24"/>
          <w:szCs w:val="24"/>
        </w:rPr>
        <w:t>displayed on glasses or som</w:t>
      </w:r>
      <w:r w:rsidR="00423669">
        <w:rPr>
          <w:rFonts w:ascii="Times New Roman" w:eastAsia="Times New Roman" w:hAnsi="Times New Roman" w:cs="Times New Roman"/>
          <w:sz w:val="24"/>
          <w:szCs w:val="24"/>
        </w:rPr>
        <w:t xml:space="preserve">e other VLP peripheral device. </w:t>
      </w:r>
      <w:r>
        <w:rPr>
          <w:rFonts w:ascii="Times New Roman" w:eastAsia="Times New Roman" w:hAnsi="Times New Roman" w:cs="Times New Roman"/>
          <w:sz w:val="24"/>
          <w:szCs w:val="24"/>
        </w:rPr>
        <w:t>Tucked among thousands of fans in arenas, within inches of their bodies, devices at the power levels proposed by industry would pose no risk to high-power fixed links or other incumbents outside.</w:t>
      </w:r>
      <w:r w:rsidR="00F1239F">
        <w:rPr>
          <w:rFonts w:ascii="Times New Roman" w:eastAsia="Times New Roman" w:hAnsi="Times New Roman" w:cs="Times New Roman"/>
          <w:sz w:val="24"/>
          <w:szCs w:val="24"/>
        </w:rPr>
        <w:t xml:space="preserve"> </w:t>
      </w:r>
    </w:p>
    <w:p w14:paraId="61A6E3C6" w14:textId="4807096A" w:rsidR="002314FA" w:rsidRDefault="00423669" w:rsidP="002314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sidR="002314FA">
        <w:rPr>
          <w:rFonts w:ascii="Times New Roman" w:eastAsia="Times New Roman" w:hAnsi="Times New Roman" w:cs="Times New Roman"/>
          <w:sz w:val="24"/>
          <w:szCs w:val="24"/>
        </w:rPr>
        <w:t>s crucial to realize that VLP devices are not only about making Next Gen Wi-Fi 6 networks more</w:t>
      </w:r>
      <w:r w:rsidR="006446F1">
        <w:rPr>
          <w:rFonts w:ascii="Times New Roman" w:eastAsia="Times New Roman" w:hAnsi="Times New Roman" w:cs="Times New Roman"/>
          <w:sz w:val="24"/>
          <w:szCs w:val="24"/>
        </w:rPr>
        <w:t xml:space="preserve"> useful</w:t>
      </w:r>
      <w:r w:rsidR="00B05283">
        <w:rPr>
          <w:rFonts w:ascii="Times New Roman" w:eastAsia="Times New Roman" w:hAnsi="Times New Roman" w:cs="Times New Roman"/>
          <w:sz w:val="24"/>
          <w:szCs w:val="24"/>
        </w:rPr>
        <w:t xml:space="preserve"> and valuable</w:t>
      </w:r>
      <w:r w:rsidR="003D0EF7">
        <w:rPr>
          <w:rFonts w:ascii="Times New Roman" w:eastAsia="Times New Roman" w:hAnsi="Times New Roman" w:cs="Times New Roman"/>
          <w:sz w:val="24"/>
          <w:szCs w:val="24"/>
        </w:rPr>
        <w:t xml:space="preserve"> to consumers. </w:t>
      </w:r>
      <w:r w:rsidR="006446F1">
        <w:rPr>
          <w:rFonts w:ascii="Times New Roman" w:eastAsia="Times New Roman" w:hAnsi="Times New Roman" w:cs="Times New Roman"/>
          <w:sz w:val="24"/>
          <w:szCs w:val="24"/>
        </w:rPr>
        <w:t>Widespread a</w:t>
      </w:r>
      <w:r w:rsidR="002314FA">
        <w:rPr>
          <w:rFonts w:ascii="Times New Roman" w:eastAsia="Times New Roman" w:hAnsi="Times New Roman" w:cs="Times New Roman"/>
          <w:sz w:val="24"/>
          <w:szCs w:val="24"/>
        </w:rPr>
        <w:t xml:space="preserve">ccess </w:t>
      </w:r>
      <w:r w:rsidR="006446F1">
        <w:rPr>
          <w:rFonts w:ascii="Times New Roman" w:eastAsia="Times New Roman" w:hAnsi="Times New Roman" w:cs="Times New Roman"/>
          <w:sz w:val="24"/>
          <w:szCs w:val="24"/>
        </w:rPr>
        <w:t xml:space="preserve">everywhere </w:t>
      </w:r>
      <w:r w:rsidR="002314FA">
        <w:rPr>
          <w:rFonts w:ascii="Times New Roman" w:eastAsia="Times New Roman" w:hAnsi="Times New Roman" w:cs="Times New Roman"/>
          <w:sz w:val="24"/>
          <w:szCs w:val="24"/>
        </w:rPr>
        <w:t>to untethered, battery-powered VLP devices will perhaps even more decisively make 5G mobile networks far more v</w:t>
      </w:r>
      <w:r w:rsidR="00ED5111">
        <w:rPr>
          <w:rFonts w:ascii="Times New Roman" w:eastAsia="Times New Roman" w:hAnsi="Times New Roman" w:cs="Times New Roman"/>
          <w:sz w:val="24"/>
          <w:szCs w:val="24"/>
        </w:rPr>
        <w:t>aluable to consumers and to</w:t>
      </w:r>
      <w:r w:rsidR="002314FA">
        <w:rPr>
          <w:rFonts w:ascii="Times New Roman" w:eastAsia="Times New Roman" w:hAnsi="Times New Roman" w:cs="Times New Roman"/>
          <w:sz w:val="24"/>
          <w:szCs w:val="24"/>
        </w:rPr>
        <w:t xml:space="preserve"> workers in many jobs where peripherals (e.g., glasses, goggles, unfolding view screens) could play a significant role in enhanci</w:t>
      </w:r>
      <w:r w:rsidR="006446F1">
        <w:rPr>
          <w:rFonts w:ascii="Times New Roman" w:eastAsia="Times New Roman" w:hAnsi="Times New Roman" w:cs="Times New Roman"/>
          <w:sz w:val="24"/>
          <w:szCs w:val="24"/>
        </w:rPr>
        <w:t xml:space="preserve">ng productivity. A separate group </w:t>
      </w:r>
      <w:r w:rsidR="002314FA">
        <w:rPr>
          <w:rFonts w:ascii="Times New Roman" w:eastAsia="Times New Roman" w:hAnsi="Times New Roman" w:cs="Times New Roman"/>
          <w:sz w:val="24"/>
          <w:szCs w:val="24"/>
        </w:rPr>
        <w:t xml:space="preserve">of </w:t>
      </w:r>
      <w:r w:rsidR="006446F1">
        <w:rPr>
          <w:rFonts w:ascii="Times New Roman" w:eastAsia="Times New Roman" w:hAnsi="Times New Roman" w:cs="Times New Roman"/>
          <w:sz w:val="24"/>
          <w:szCs w:val="24"/>
        </w:rPr>
        <w:t xml:space="preserve">high-tech </w:t>
      </w:r>
      <w:r w:rsidR="002314FA">
        <w:rPr>
          <w:rFonts w:ascii="Times New Roman" w:eastAsia="Times New Roman" w:hAnsi="Times New Roman" w:cs="Times New Roman"/>
          <w:sz w:val="24"/>
          <w:szCs w:val="24"/>
        </w:rPr>
        <w:t xml:space="preserve">companies (including Apple, Broadcom, Facebook, Google, Hewlett Packard, Intel, Marvell Semiconductor, Microsoft, and Qualcomm) </w:t>
      </w:r>
      <w:r w:rsidR="006446F1">
        <w:rPr>
          <w:rFonts w:ascii="Times New Roman" w:eastAsia="Times New Roman" w:hAnsi="Times New Roman" w:cs="Times New Roman"/>
          <w:sz w:val="24"/>
          <w:szCs w:val="24"/>
        </w:rPr>
        <w:t xml:space="preserve">correctly </w:t>
      </w:r>
      <w:r w:rsidR="002314FA">
        <w:rPr>
          <w:rFonts w:ascii="Times New Roman" w:eastAsia="Times New Roman" w:hAnsi="Times New Roman" w:cs="Times New Roman"/>
          <w:sz w:val="24"/>
          <w:szCs w:val="24"/>
        </w:rPr>
        <w:t>describe VLP devices as “the core of provisioning of 5G digitally immersive cellular services.”</w:t>
      </w:r>
      <w:r w:rsidR="002314FA">
        <w:rPr>
          <w:rFonts w:ascii="Times New Roman" w:eastAsia="Times New Roman" w:hAnsi="Times New Roman" w:cs="Times New Roman"/>
          <w:sz w:val="24"/>
          <w:szCs w:val="24"/>
          <w:vertAlign w:val="superscript"/>
        </w:rPr>
        <w:footnoteReference w:id="9"/>
      </w:r>
      <w:r w:rsidR="002314FA">
        <w:rPr>
          <w:rFonts w:ascii="Times New Roman" w:eastAsia="Times New Roman" w:hAnsi="Times New Roman" w:cs="Times New Roman"/>
          <w:sz w:val="24"/>
          <w:szCs w:val="24"/>
        </w:rPr>
        <w:t xml:space="preserve"> VLP devices will be central to mobile AR/VR services, ultra-high-definition streaming, high-speed tethering devices to broadband, and in-vehicle entertainment, according to the companies.</w:t>
      </w:r>
      <w:r w:rsidR="002314FA">
        <w:rPr>
          <w:rFonts w:ascii="Times New Roman" w:eastAsia="Times New Roman" w:hAnsi="Times New Roman" w:cs="Times New Roman"/>
          <w:sz w:val="24"/>
          <w:szCs w:val="24"/>
          <w:vertAlign w:val="superscript"/>
        </w:rPr>
        <w:footnoteReference w:id="10"/>
      </w:r>
      <w:r w:rsidR="002314FA">
        <w:rPr>
          <w:rFonts w:ascii="Times New Roman" w:eastAsia="Times New Roman" w:hAnsi="Times New Roman" w:cs="Times New Roman"/>
          <w:sz w:val="24"/>
          <w:szCs w:val="24"/>
        </w:rPr>
        <w:t xml:space="preserve"> </w:t>
      </w:r>
    </w:p>
    <w:p w14:paraId="00000008" w14:textId="362008B8" w:rsidR="006F66A8" w:rsidRDefault="00A757E6" w:rsidP="002314F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w:t>
      </w:r>
      <w:r w:rsidR="009A08C6">
        <w:rPr>
          <w:rFonts w:ascii="Times New Roman" w:eastAsia="Times New Roman" w:hAnsi="Times New Roman" w:cs="Times New Roman"/>
          <w:sz w:val="24"/>
          <w:szCs w:val="24"/>
        </w:rPr>
        <w:t xml:space="preserve">veral examples in the record describing </w:t>
      </w:r>
      <w:r>
        <w:rPr>
          <w:rFonts w:ascii="Times New Roman" w:eastAsia="Times New Roman" w:hAnsi="Times New Roman" w:cs="Times New Roman"/>
          <w:sz w:val="24"/>
          <w:szCs w:val="24"/>
        </w:rPr>
        <w:t>how VLP operations across the entire 6 GHz band will unleash new use cases and devices, many of which</w:t>
      </w:r>
      <w:r w:rsidR="002314FA">
        <w:rPr>
          <w:rFonts w:ascii="Times New Roman" w:eastAsia="Times New Roman" w:hAnsi="Times New Roman" w:cs="Times New Roman"/>
          <w:sz w:val="24"/>
          <w:szCs w:val="24"/>
        </w:rPr>
        <w:t xml:space="preserve"> we cannot even imagine </w:t>
      </w:r>
      <w:r w:rsidR="002314FA">
        <w:rPr>
          <w:rFonts w:ascii="Times New Roman" w:eastAsia="Times New Roman" w:hAnsi="Times New Roman" w:cs="Times New Roman"/>
          <w:sz w:val="24"/>
          <w:szCs w:val="24"/>
        </w:rPr>
        <w:lastRenderedPageBreak/>
        <w:t>today. As Apple explains:</w:t>
      </w:r>
      <w:r w:rsidR="009A08C6">
        <w:rPr>
          <w:rFonts w:ascii="Times New Roman" w:eastAsia="Times New Roman" w:hAnsi="Times New Roman" w:cs="Times New Roman"/>
          <w:sz w:val="24"/>
          <w:szCs w:val="24"/>
        </w:rPr>
        <w:t xml:space="preserve"> </w:t>
      </w:r>
      <w:r w:rsidR="002314FA">
        <w:rPr>
          <w:rFonts w:ascii="Times New Roman" w:eastAsia="Times New Roman" w:hAnsi="Times New Roman" w:cs="Times New Roman"/>
          <w:sz w:val="24"/>
          <w:szCs w:val="24"/>
        </w:rPr>
        <w:t>“</w:t>
      </w:r>
      <w:r>
        <w:rPr>
          <w:rFonts w:ascii="Times New Roman" w:eastAsia="Times New Roman" w:hAnsi="Times New Roman" w:cs="Times New Roman"/>
          <w:sz w:val="24"/>
          <w:szCs w:val="24"/>
        </w:rPr>
        <w:t>[T]he Commission should authorize a category of very-low-power 6 GHz devices for indoor and outdoor use without AFC control. Such devices… would enable important applications at short ranges, including communications between devices and accessories such as headphones, hearing aids, watches, game controllers, and other peripherals.”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Facebook details the benefits of permitting VLP devices to operate across the entire 6 GHz band and empowering new use cases: “Innovators would gain access to 6 GHz band for flexible new use cases with greater flexibility, and lower cost, than either of the two device classes envisioned by the Commission (i.e., standard-power AFC-controlled devices or low-power indoor only devices (LPI)). A very-low-power device class that includes portable devices would complement the other two device classes by providing flexible spectrum access for short-range connectivity between devices such as game console controllers, keyboards, headphones, or other wearable devices, and for other future use cases not yet foreseen.”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09" w14:textId="2D851F9A" w:rsidR="006F66A8" w:rsidRDefault="0016233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A757E6">
        <w:rPr>
          <w:rFonts w:ascii="Times New Roman" w:eastAsia="Times New Roman" w:hAnsi="Times New Roman" w:cs="Times New Roman"/>
          <w:sz w:val="24"/>
          <w:szCs w:val="24"/>
        </w:rPr>
        <w:t xml:space="preserve"> coalition </w:t>
      </w:r>
      <w:r>
        <w:rPr>
          <w:rFonts w:ascii="Times New Roman" w:eastAsia="Times New Roman" w:hAnsi="Times New Roman" w:cs="Times New Roman"/>
          <w:sz w:val="24"/>
          <w:szCs w:val="24"/>
        </w:rPr>
        <w:t xml:space="preserve">of high-tech </w:t>
      </w:r>
      <w:r w:rsidR="00A757E6">
        <w:rPr>
          <w:rFonts w:ascii="Times New Roman" w:eastAsia="Times New Roman" w:hAnsi="Times New Roman" w:cs="Times New Roman"/>
          <w:sz w:val="24"/>
          <w:szCs w:val="24"/>
        </w:rPr>
        <w:t xml:space="preserve">companies </w:t>
      </w:r>
      <w:r>
        <w:rPr>
          <w:rFonts w:ascii="Times New Roman" w:eastAsia="Times New Roman" w:hAnsi="Times New Roman" w:cs="Times New Roman"/>
          <w:sz w:val="24"/>
          <w:szCs w:val="24"/>
        </w:rPr>
        <w:t xml:space="preserve">has </w:t>
      </w:r>
      <w:r w:rsidR="00A757E6">
        <w:rPr>
          <w:rFonts w:ascii="Times New Roman" w:eastAsia="Times New Roman" w:hAnsi="Times New Roman" w:cs="Times New Roman"/>
          <w:sz w:val="24"/>
          <w:szCs w:val="24"/>
        </w:rPr>
        <w:t>emphasize</w:t>
      </w:r>
      <w:r>
        <w:rPr>
          <w:rFonts w:ascii="Times New Roman" w:eastAsia="Times New Roman" w:hAnsi="Times New Roman" w:cs="Times New Roman"/>
          <w:sz w:val="24"/>
          <w:szCs w:val="24"/>
        </w:rPr>
        <w:t>d</w:t>
      </w:r>
      <w:r w:rsidR="00A757E6">
        <w:rPr>
          <w:rFonts w:ascii="Times New Roman" w:eastAsia="Times New Roman" w:hAnsi="Times New Roman" w:cs="Times New Roman"/>
          <w:sz w:val="24"/>
          <w:szCs w:val="24"/>
        </w:rPr>
        <w:t xml:space="preserve"> how VLP devices are “critical” to realizing two future use cases in particular.</w:t>
      </w:r>
      <w:r w:rsidR="00A757E6">
        <w:rPr>
          <w:rFonts w:ascii="Times New Roman" w:eastAsia="Times New Roman" w:hAnsi="Times New Roman" w:cs="Times New Roman"/>
          <w:sz w:val="24"/>
          <w:szCs w:val="24"/>
          <w:vertAlign w:val="superscript"/>
        </w:rPr>
        <w:footnoteReference w:id="13"/>
      </w:r>
      <w:r w:rsidR="00A757E6">
        <w:rPr>
          <w:rFonts w:ascii="Times New Roman" w:eastAsia="Times New Roman" w:hAnsi="Times New Roman" w:cs="Times New Roman"/>
          <w:sz w:val="24"/>
          <w:szCs w:val="24"/>
        </w:rPr>
        <w:t xml:space="preserve"> First, personal area network (“PAN”) applications, where, as the companies explain, “devices will be exclusively battery powered and designed for either handheld use or to be worn on the user’s body,” such as “smartphones, glasses, watches, and earphones.”</w:t>
      </w:r>
      <w:r w:rsidR="00A757E6">
        <w:rPr>
          <w:rFonts w:ascii="Times New Roman" w:eastAsia="Times New Roman" w:hAnsi="Times New Roman" w:cs="Times New Roman"/>
          <w:sz w:val="24"/>
          <w:szCs w:val="24"/>
          <w:vertAlign w:val="superscript"/>
        </w:rPr>
        <w:footnoteReference w:id="14"/>
      </w:r>
      <w:r w:rsidR="00A757E6">
        <w:rPr>
          <w:rFonts w:ascii="Times New Roman" w:eastAsia="Times New Roman" w:hAnsi="Times New Roman" w:cs="Times New Roman"/>
          <w:sz w:val="24"/>
          <w:szCs w:val="24"/>
        </w:rPr>
        <w:t xml:space="preserve"> Second, the companies highlight how VLP devices are essential to powering vehicular applications, where “devices are designed to be installed in automobiles or other </w:t>
      </w:r>
      <w:r w:rsidR="00A757E6">
        <w:rPr>
          <w:rFonts w:ascii="Times New Roman" w:eastAsia="Times New Roman" w:hAnsi="Times New Roman" w:cs="Times New Roman"/>
          <w:sz w:val="24"/>
          <w:szCs w:val="24"/>
        </w:rPr>
        <w:lastRenderedPageBreak/>
        <w:t>terrestrial vehicles. An in-dash display unit would be a typical example of a vehicular VLP device.”</w:t>
      </w:r>
      <w:r w:rsidR="00A757E6">
        <w:rPr>
          <w:rFonts w:ascii="Times New Roman" w:eastAsia="Times New Roman" w:hAnsi="Times New Roman" w:cs="Times New Roman"/>
          <w:sz w:val="24"/>
          <w:szCs w:val="24"/>
          <w:vertAlign w:val="superscript"/>
        </w:rPr>
        <w:footnoteReference w:id="15"/>
      </w:r>
      <w:r w:rsidR="00A757E6">
        <w:rPr>
          <w:rFonts w:ascii="Times New Roman" w:eastAsia="Times New Roman" w:hAnsi="Times New Roman" w:cs="Times New Roman"/>
          <w:sz w:val="24"/>
          <w:szCs w:val="24"/>
        </w:rPr>
        <w:t xml:space="preserve"> </w:t>
      </w:r>
    </w:p>
    <w:p w14:paraId="0000000B" w14:textId="5100F3DC" w:rsidR="006F66A8" w:rsidRDefault="00E53F5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innovation and optimal value for VLP devices, use cases</w:t>
      </w:r>
      <w:r w:rsidR="003D0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PANs more generally, we urge the Commission to adopt its proposal to authorize VLP across all four band segments and without any requirement for control by an Automated Frequency Coordination</w:t>
      </w:r>
      <w:r w:rsidR="009A08C6">
        <w:rPr>
          <w:rFonts w:ascii="Times New Roman" w:eastAsia="Times New Roman" w:hAnsi="Times New Roman" w:cs="Times New Roman"/>
          <w:sz w:val="24"/>
          <w:szCs w:val="24"/>
        </w:rPr>
        <w:t xml:space="preserve"> (“AFC”)</w:t>
      </w:r>
      <w:r>
        <w:rPr>
          <w:rFonts w:ascii="Times New Roman" w:eastAsia="Times New Roman" w:hAnsi="Times New Roman" w:cs="Times New Roman"/>
          <w:sz w:val="24"/>
          <w:szCs w:val="24"/>
        </w:rPr>
        <w:t xml:space="preserve"> system. A</w:t>
      </w:r>
      <w:r w:rsidR="00A757E6">
        <w:rPr>
          <w:rFonts w:ascii="Times New Roman" w:eastAsia="Times New Roman" w:hAnsi="Times New Roman" w:cs="Times New Roman"/>
          <w:sz w:val="24"/>
          <w:szCs w:val="24"/>
        </w:rPr>
        <w:t>s Qualcomm underscores, if the Commission were to implement varying rules for VLP devices in different sub-bands, it would reduce the effectiveness of the 6 GHz band to next-generation use cases. As Qualcomm explains, “to permit in alternating 6 GHz sub-bands standard-power unlicensed devices under AFC control and LPI devices would hinder investment in the 6 GHz band. It would prevent LPI devices from being able to access wider channel sizes that straddle multiple U-NII sub-bands to facilitate higher speeds and thus reduces the potential for global harmonization with other jurisdictions that permit LPI in U-NII-5.”</w:t>
      </w:r>
      <w:r w:rsidR="00A757E6">
        <w:rPr>
          <w:rFonts w:ascii="Times New Roman" w:eastAsia="Times New Roman" w:hAnsi="Times New Roman" w:cs="Times New Roman"/>
          <w:sz w:val="24"/>
          <w:szCs w:val="24"/>
          <w:vertAlign w:val="superscript"/>
        </w:rPr>
        <w:footnoteReference w:id="16"/>
      </w:r>
    </w:p>
    <w:p w14:paraId="4F2F7F25" w14:textId="39CFB95A" w:rsidR="005215E3" w:rsidRDefault="002102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Peer-to-peer </w:t>
      </w:r>
      <w:r w:rsidR="000568DA">
        <w:rPr>
          <w:rFonts w:ascii="Times New Roman" w:eastAsia="Times New Roman" w:hAnsi="Times New Roman" w:cs="Times New Roman"/>
          <w:sz w:val="24"/>
          <w:szCs w:val="24"/>
        </w:rPr>
        <w:t>services</w:t>
      </w:r>
      <w:r w:rsidR="00776F78">
        <w:rPr>
          <w:rFonts w:ascii="Times New Roman" w:eastAsia="Times New Roman" w:hAnsi="Times New Roman" w:cs="Times New Roman"/>
          <w:sz w:val="24"/>
          <w:szCs w:val="24"/>
        </w:rPr>
        <w:t xml:space="preserve"> are another </w:t>
      </w:r>
      <w:r w:rsidR="0060644D">
        <w:rPr>
          <w:rFonts w:ascii="Times New Roman" w:eastAsia="Times New Roman" w:hAnsi="Times New Roman" w:cs="Times New Roman"/>
          <w:sz w:val="24"/>
          <w:szCs w:val="24"/>
        </w:rPr>
        <w:t xml:space="preserve">potential use case </w:t>
      </w:r>
      <w:r w:rsidR="006E2002">
        <w:rPr>
          <w:rFonts w:ascii="Times New Roman" w:eastAsia="Times New Roman" w:hAnsi="Times New Roman" w:cs="Times New Roman"/>
          <w:sz w:val="24"/>
          <w:szCs w:val="24"/>
        </w:rPr>
        <w:t xml:space="preserve">that the Commission could unlock </w:t>
      </w:r>
      <w:r w:rsidR="00825F89">
        <w:rPr>
          <w:rFonts w:ascii="Times New Roman" w:eastAsia="Times New Roman" w:hAnsi="Times New Roman" w:cs="Times New Roman"/>
          <w:sz w:val="24"/>
          <w:szCs w:val="24"/>
        </w:rPr>
        <w:t xml:space="preserve">by </w:t>
      </w:r>
      <w:r w:rsidR="00FB78FB">
        <w:rPr>
          <w:rFonts w:ascii="Times New Roman" w:eastAsia="Times New Roman" w:hAnsi="Times New Roman" w:cs="Times New Roman"/>
          <w:sz w:val="24"/>
          <w:szCs w:val="24"/>
        </w:rPr>
        <w:t xml:space="preserve">ensuring VLP devices are </w:t>
      </w:r>
      <w:r w:rsidR="00896830">
        <w:rPr>
          <w:rFonts w:ascii="Times New Roman" w:eastAsia="Times New Roman" w:hAnsi="Times New Roman" w:cs="Times New Roman"/>
          <w:sz w:val="24"/>
          <w:szCs w:val="24"/>
        </w:rPr>
        <w:t xml:space="preserve">able to access all four 6 GHz sub-bands. VLP devices would better be able </w:t>
      </w:r>
      <w:r w:rsidR="00B428DA">
        <w:rPr>
          <w:rFonts w:ascii="Times New Roman" w:eastAsia="Times New Roman" w:hAnsi="Times New Roman" w:cs="Times New Roman"/>
          <w:sz w:val="24"/>
          <w:szCs w:val="24"/>
        </w:rPr>
        <w:t xml:space="preserve">to directly connect with one another </w:t>
      </w:r>
      <w:r w:rsidR="0048064B">
        <w:rPr>
          <w:rFonts w:ascii="Times New Roman" w:eastAsia="Times New Roman" w:hAnsi="Times New Roman" w:cs="Times New Roman"/>
          <w:sz w:val="24"/>
          <w:szCs w:val="24"/>
        </w:rPr>
        <w:t xml:space="preserve">with </w:t>
      </w:r>
      <w:r w:rsidR="007C780C">
        <w:rPr>
          <w:rFonts w:ascii="Times New Roman" w:eastAsia="Times New Roman" w:hAnsi="Times New Roman" w:cs="Times New Roman"/>
          <w:sz w:val="24"/>
          <w:szCs w:val="24"/>
        </w:rPr>
        <w:t xml:space="preserve">access to all four sub-bands </w:t>
      </w:r>
      <w:r w:rsidR="005B266D">
        <w:rPr>
          <w:rFonts w:ascii="Times New Roman" w:eastAsia="Times New Roman" w:hAnsi="Times New Roman" w:cs="Times New Roman"/>
          <w:sz w:val="24"/>
          <w:szCs w:val="24"/>
        </w:rPr>
        <w:t>to 6 GHz spectrum</w:t>
      </w:r>
      <w:r w:rsidR="007D5932">
        <w:rPr>
          <w:rFonts w:ascii="Times New Roman" w:eastAsia="Times New Roman" w:hAnsi="Times New Roman" w:cs="Times New Roman"/>
          <w:sz w:val="24"/>
          <w:szCs w:val="24"/>
        </w:rPr>
        <w:t xml:space="preserve">. </w:t>
      </w:r>
      <w:r w:rsidR="00487AEB">
        <w:rPr>
          <w:rFonts w:ascii="Times New Roman" w:eastAsia="Times New Roman" w:hAnsi="Times New Roman" w:cs="Times New Roman"/>
          <w:sz w:val="24"/>
          <w:szCs w:val="24"/>
        </w:rPr>
        <w:t xml:space="preserve">This will be crucial for high-speed, next-generation </w:t>
      </w:r>
      <w:r w:rsidR="00BA683A">
        <w:rPr>
          <w:rFonts w:ascii="Times New Roman" w:eastAsia="Times New Roman" w:hAnsi="Times New Roman" w:cs="Times New Roman"/>
          <w:sz w:val="24"/>
          <w:szCs w:val="24"/>
        </w:rPr>
        <w:t>connectivity use cases</w:t>
      </w:r>
      <w:r w:rsidR="00CD2DEF">
        <w:rPr>
          <w:rFonts w:ascii="Times New Roman" w:eastAsia="Times New Roman" w:hAnsi="Times New Roman" w:cs="Times New Roman"/>
          <w:sz w:val="24"/>
          <w:szCs w:val="24"/>
        </w:rPr>
        <w:t xml:space="preserve"> for device</w:t>
      </w:r>
      <w:r w:rsidR="000C4D39">
        <w:rPr>
          <w:rFonts w:ascii="Times New Roman" w:eastAsia="Times New Roman" w:hAnsi="Times New Roman" w:cs="Times New Roman"/>
          <w:sz w:val="24"/>
          <w:szCs w:val="24"/>
        </w:rPr>
        <w:t xml:space="preserve">s in the same vicinity. This could facilitate </w:t>
      </w:r>
      <w:r w:rsidR="003B3DB2">
        <w:rPr>
          <w:rFonts w:ascii="Times New Roman" w:eastAsia="Times New Roman" w:hAnsi="Times New Roman" w:cs="Times New Roman"/>
          <w:sz w:val="24"/>
          <w:szCs w:val="24"/>
        </w:rPr>
        <w:t xml:space="preserve">next-generation </w:t>
      </w:r>
      <w:r w:rsidR="003D4269">
        <w:rPr>
          <w:rFonts w:ascii="Times New Roman" w:eastAsia="Times New Roman" w:hAnsi="Times New Roman" w:cs="Times New Roman"/>
          <w:sz w:val="24"/>
          <w:szCs w:val="24"/>
        </w:rPr>
        <w:t xml:space="preserve">operations </w:t>
      </w:r>
      <w:r w:rsidR="00F14CF8">
        <w:rPr>
          <w:rFonts w:ascii="Times New Roman" w:eastAsia="Times New Roman" w:hAnsi="Times New Roman" w:cs="Times New Roman"/>
          <w:sz w:val="24"/>
          <w:szCs w:val="24"/>
        </w:rPr>
        <w:t xml:space="preserve">in </w:t>
      </w:r>
      <w:r w:rsidR="00415E55">
        <w:rPr>
          <w:rFonts w:ascii="Times New Roman" w:eastAsia="Times New Roman" w:hAnsi="Times New Roman" w:cs="Times New Roman"/>
          <w:sz w:val="24"/>
          <w:szCs w:val="24"/>
        </w:rPr>
        <w:t xml:space="preserve">areas such as video games, </w:t>
      </w:r>
      <w:r w:rsidR="00CF1ED6">
        <w:rPr>
          <w:rFonts w:ascii="Times New Roman" w:eastAsia="Times New Roman" w:hAnsi="Times New Roman" w:cs="Times New Roman"/>
          <w:sz w:val="24"/>
          <w:szCs w:val="24"/>
        </w:rPr>
        <w:t xml:space="preserve">education, shopping, manufacturing, </w:t>
      </w:r>
      <w:r w:rsidR="008E04D1">
        <w:rPr>
          <w:rFonts w:ascii="Times New Roman" w:eastAsia="Times New Roman" w:hAnsi="Times New Roman" w:cs="Times New Roman"/>
          <w:sz w:val="24"/>
          <w:szCs w:val="24"/>
        </w:rPr>
        <w:t xml:space="preserve">tours in museums and </w:t>
      </w:r>
      <w:r w:rsidR="00EE565D">
        <w:rPr>
          <w:rFonts w:ascii="Times New Roman" w:eastAsia="Times New Roman" w:hAnsi="Times New Roman" w:cs="Times New Roman"/>
          <w:sz w:val="24"/>
          <w:szCs w:val="24"/>
        </w:rPr>
        <w:t xml:space="preserve">other </w:t>
      </w:r>
      <w:r w:rsidR="00DC32D9">
        <w:rPr>
          <w:rFonts w:ascii="Times New Roman" w:eastAsia="Times New Roman" w:hAnsi="Times New Roman" w:cs="Times New Roman"/>
          <w:sz w:val="24"/>
          <w:szCs w:val="24"/>
        </w:rPr>
        <w:t>historic landmarks</w:t>
      </w:r>
      <w:r w:rsidR="00C63381">
        <w:rPr>
          <w:rFonts w:ascii="Times New Roman" w:eastAsia="Times New Roman" w:hAnsi="Times New Roman" w:cs="Times New Roman"/>
          <w:sz w:val="24"/>
          <w:szCs w:val="24"/>
        </w:rPr>
        <w:t xml:space="preserve">, as well as other peer-to-peer </w:t>
      </w:r>
      <w:r w:rsidR="000832D6">
        <w:rPr>
          <w:rFonts w:ascii="Times New Roman" w:eastAsia="Times New Roman" w:hAnsi="Times New Roman" w:cs="Times New Roman"/>
          <w:sz w:val="24"/>
          <w:szCs w:val="24"/>
        </w:rPr>
        <w:t xml:space="preserve">operations </w:t>
      </w:r>
      <w:r w:rsidR="00417C50">
        <w:rPr>
          <w:rFonts w:ascii="Times New Roman" w:eastAsia="Times New Roman" w:hAnsi="Times New Roman" w:cs="Times New Roman"/>
          <w:sz w:val="24"/>
          <w:szCs w:val="24"/>
        </w:rPr>
        <w:t xml:space="preserve">for use </w:t>
      </w:r>
      <w:r w:rsidR="00212AA0">
        <w:rPr>
          <w:rFonts w:ascii="Times New Roman" w:eastAsia="Times New Roman" w:hAnsi="Times New Roman" w:cs="Times New Roman"/>
          <w:sz w:val="24"/>
          <w:szCs w:val="24"/>
        </w:rPr>
        <w:t xml:space="preserve">cases yet to be </w:t>
      </w:r>
      <w:r w:rsidR="00033F9C">
        <w:rPr>
          <w:rFonts w:ascii="Times New Roman" w:eastAsia="Times New Roman" w:hAnsi="Times New Roman" w:cs="Times New Roman"/>
          <w:sz w:val="24"/>
          <w:szCs w:val="24"/>
        </w:rPr>
        <w:t>innovated.</w:t>
      </w:r>
    </w:p>
    <w:p w14:paraId="7B398BEE" w14:textId="01D8EC79" w:rsidR="001C6EE7" w:rsidRDefault="00B50C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and students are likely to be major users and beneficiaries. Thanks to massive investment</w:t>
      </w:r>
      <w:r w:rsidR="00864CA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E-Rate and other sources, most schools are fiber-fed and will be able to harness Wi-Fi </w:t>
      </w:r>
      <w:r w:rsidR="00864CA4">
        <w:rPr>
          <w:rFonts w:ascii="Times New Roman" w:eastAsia="Times New Roman" w:hAnsi="Times New Roman" w:cs="Times New Roman"/>
          <w:sz w:val="24"/>
          <w:szCs w:val="24"/>
        </w:rPr>
        <w:t xml:space="preserve">6 on </w:t>
      </w:r>
      <w:r>
        <w:rPr>
          <w:rFonts w:ascii="Times New Roman" w:eastAsia="Times New Roman" w:hAnsi="Times New Roman" w:cs="Times New Roman"/>
          <w:sz w:val="24"/>
          <w:szCs w:val="24"/>
        </w:rPr>
        <w:t>6 GHz spectrum to</w:t>
      </w:r>
      <w:r w:rsidR="00864CA4">
        <w:rPr>
          <w:rFonts w:ascii="Times New Roman" w:eastAsia="Times New Roman" w:hAnsi="Times New Roman" w:cs="Times New Roman"/>
          <w:sz w:val="24"/>
          <w:szCs w:val="24"/>
        </w:rPr>
        <w:t xml:space="preserve"> provide gigabit connectivity to the classroom. </w:t>
      </w:r>
      <w:r w:rsidR="001C6EE7">
        <w:rPr>
          <w:rFonts w:ascii="Times New Roman" w:eastAsia="Times New Roman" w:hAnsi="Times New Roman" w:cs="Times New Roman"/>
          <w:sz w:val="24"/>
          <w:szCs w:val="24"/>
        </w:rPr>
        <w:t xml:space="preserve">Online </w:t>
      </w:r>
      <w:r w:rsidR="001C6EE7">
        <w:rPr>
          <w:rFonts w:ascii="Times New Roman" w:eastAsia="Times New Roman" w:hAnsi="Times New Roman" w:cs="Times New Roman"/>
          <w:sz w:val="24"/>
          <w:szCs w:val="24"/>
        </w:rPr>
        <w:lastRenderedPageBreak/>
        <w:t xml:space="preserve">lectures, seminars, field trips, </w:t>
      </w:r>
      <w:r w:rsidR="00590E39">
        <w:rPr>
          <w:rFonts w:ascii="Times New Roman" w:eastAsia="Times New Roman" w:hAnsi="Times New Roman" w:cs="Times New Roman"/>
          <w:sz w:val="24"/>
          <w:szCs w:val="24"/>
        </w:rPr>
        <w:t xml:space="preserve">simulations, </w:t>
      </w:r>
      <w:r w:rsidR="001C6EE7">
        <w:rPr>
          <w:rFonts w:ascii="Times New Roman" w:eastAsia="Times New Roman" w:hAnsi="Times New Roman" w:cs="Times New Roman"/>
          <w:sz w:val="24"/>
          <w:szCs w:val="24"/>
        </w:rPr>
        <w:t xml:space="preserve">and group projects could become more immersive and more closely reflect the characteristics of in-classroom learning—while also potentially empowering styles of learning that go beyond the abilities of what teachers can facilitate in a classroom setting. </w:t>
      </w:r>
      <w:r w:rsidR="00864CA4">
        <w:rPr>
          <w:rFonts w:ascii="Times New Roman" w:eastAsia="Times New Roman" w:hAnsi="Times New Roman" w:cs="Times New Roman"/>
          <w:sz w:val="24"/>
          <w:szCs w:val="24"/>
        </w:rPr>
        <w:t>Virtual visits to the Louvre, educational gaming and AR information streaming in during hands-on lab work are the most rudimentary examples of benefits.</w:t>
      </w:r>
      <w:r w:rsidR="001C6EE7" w:rsidRPr="001C6EE7">
        <w:rPr>
          <w:rFonts w:ascii="Times New Roman" w:eastAsia="Times New Roman" w:hAnsi="Times New Roman" w:cs="Times New Roman"/>
          <w:sz w:val="24"/>
          <w:szCs w:val="24"/>
        </w:rPr>
        <w:t xml:space="preserve"> </w:t>
      </w:r>
      <w:r w:rsidR="00590E39">
        <w:rPr>
          <w:rFonts w:ascii="Times New Roman" w:eastAsia="Times New Roman" w:hAnsi="Times New Roman" w:cs="Times New Roman"/>
          <w:sz w:val="24"/>
          <w:szCs w:val="24"/>
        </w:rPr>
        <w:t>Remote laboratories are a more advanced and compelling use of wireless computing and remote control of peripheral devices.</w:t>
      </w:r>
      <w:r w:rsidR="00590E39">
        <w:rPr>
          <w:rStyle w:val="FootnoteReference"/>
          <w:rFonts w:ascii="Times New Roman" w:eastAsia="Times New Roman" w:hAnsi="Times New Roman" w:cs="Times New Roman"/>
          <w:sz w:val="24"/>
          <w:szCs w:val="24"/>
        </w:rPr>
        <w:footnoteReference w:id="17"/>
      </w:r>
      <w:r w:rsidR="00590E39">
        <w:rPr>
          <w:rFonts w:ascii="Times New Roman" w:eastAsia="Times New Roman" w:hAnsi="Times New Roman" w:cs="Times New Roman"/>
          <w:sz w:val="24"/>
          <w:szCs w:val="24"/>
        </w:rPr>
        <w:t xml:space="preserve"> </w:t>
      </w:r>
      <w:r w:rsidR="001C6EE7">
        <w:rPr>
          <w:rFonts w:ascii="Times New Roman" w:eastAsia="Times New Roman" w:hAnsi="Times New Roman" w:cs="Times New Roman"/>
          <w:sz w:val="24"/>
          <w:szCs w:val="24"/>
        </w:rPr>
        <w:t>AR/VR learning could also play a significant role in assistive learning, according to experts.</w:t>
      </w:r>
      <w:r w:rsidR="001C6EE7">
        <w:rPr>
          <w:rFonts w:ascii="Times New Roman" w:eastAsia="Times New Roman" w:hAnsi="Times New Roman" w:cs="Times New Roman"/>
          <w:sz w:val="24"/>
          <w:szCs w:val="24"/>
          <w:vertAlign w:val="superscript"/>
        </w:rPr>
        <w:footnoteReference w:id="18"/>
      </w:r>
      <w:r w:rsidR="001C6EE7">
        <w:rPr>
          <w:rFonts w:ascii="Times New Roman" w:eastAsia="Times New Roman" w:hAnsi="Times New Roman" w:cs="Times New Roman"/>
          <w:sz w:val="24"/>
          <w:szCs w:val="24"/>
        </w:rPr>
        <w:t xml:space="preserve">  </w:t>
      </w:r>
      <w:r w:rsidR="00864CA4">
        <w:rPr>
          <w:rFonts w:ascii="Times New Roman" w:eastAsia="Times New Roman" w:hAnsi="Times New Roman" w:cs="Times New Roman"/>
          <w:sz w:val="24"/>
          <w:szCs w:val="24"/>
        </w:rPr>
        <w:t xml:space="preserve"> </w:t>
      </w:r>
    </w:p>
    <w:p w14:paraId="54009562" w14:textId="6281DC6E" w:rsidR="00B50CD8" w:rsidRDefault="001C6EE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Overly restrictive connectivity rules would deter or overly burden this sort of educational innovation. </w:t>
      </w:r>
      <w:r w:rsidR="00864CA4">
        <w:rPr>
          <w:rFonts w:ascii="Times New Roman" w:eastAsia="Times New Roman" w:hAnsi="Times New Roman" w:cs="Times New Roman"/>
          <w:sz w:val="24"/>
          <w:szCs w:val="24"/>
        </w:rPr>
        <w:t>Will schools need t</w:t>
      </w:r>
      <w:r w:rsidR="008718AA">
        <w:rPr>
          <w:rFonts w:ascii="Times New Roman" w:eastAsia="Times New Roman" w:hAnsi="Times New Roman" w:cs="Times New Roman"/>
          <w:sz w:val="24"/>
          <w:szCs w:val="24"/>
        </w:rPr>
        <w:t>o require individual students—</w:t>
      </w:r>
      <w:r w:rsidR="00864CA4">
        <w:rPr>
          <w:rFonts w:ascii="Times New Roman" w:eastAsia="Times New Roman" w:hAnsi="Times New Roman" w:cs="Times New Roman"/>
          <w:sz w:val="24"/>
          <w:szCs w:val="24"/>
        </w:rPr>
        <w:t>or groups of collabora</w:t>
      </w:r>
      <w:r w:rsidR="008718AA">
        <w:rPr>
          <w:rFonts w:ascii="Times New Roman" w:eastAsia="Times New Roman" w:hAnsi="Times New Roman" w:cs="Times New Roman"/>
          <w:sz w:val="24"/>
          <w:szCs w:val="24"/>
        </w:rPr>
        <w:t>ting students—</w:t>
      </w:r>
      <w:r w:rsidR="00864CA4">
        <w:rPr>
          <w:rFonts w:ascii="Times New Roman" w:eastAsia="Times New Roman" w:hAnsi="Times New Roman" w:cs="Times New Roman"/>
          <w:sz w:val="24"/>
          <w:szCs w:val="24"/>
        </w:rPr>
        <w:t>to plug into the wall in order</w:t>
      </w:r>
      <w:r w:rsidR="003D0EF7">
        <w:rPr>
          <w:rFonts w:ascii="Times New Roman" w:eastAsia="Times New Roman" w:hAnsi="Times New Roman" w:cs="Times New Roman"/>
          <w:sz w:val="24"/>
          <w:szCs w:val="24"/>
        </w:rPr>
        <w:t xml:space="preserve"> to use AR or VR for learning? </w:t>
      </w:r>
      <w:r w:rsidR="00864CA4">
        <w:rPr>
          <w:rFonts w:ascii="Times New Roman" w:eastAsia="Times New Roman" w:hAnsi="Times New Roman" w:cs="Times New Roman"/>
          <w:sz w:val="24"/>
          <w:szCs w:val="24"/>
        </w:rPr>
        <w:t>Or will those peripherals need to be far more expensive, so that they are capable of operating as clients of the school’s Wi-Fi ro</w:t>
      </w:r>
      <w:r w:rsidR="008718AA">
        <w:rPr>
          <w:rFonts w:ascii="Times New Roman" w:eastAsia="Times New Roman" w:hAnsi="Times New Roman" w:cs="Times New Roman"/>
          <w:sz w:val="24"/>
          <w:szCs w:val="24"/>
        </w:rPr>
        <w:t>uter? Within a short distance—</w:t>
      </w:r>
      <w:r w:rsidR="00864CA4">
        <w:rPr>
          <w:rFonts w:ascii="Times New Roman" w:eastAsia="Times New Roman" w:hAnsi="Times New Roman" w:cs="Times New Roman"/>
          <w:sz w:val="24"/>
          <w:szCs w:val="24"/>
        </w:rPr>
        <w:t>whether in the classroom, on a school bus</w:t>
      </w:r>
      <w:r w:rsidR="008718AA">
        <w:rPr>
          <w:rFonts w:ascii="Times New Roman" w:eastAsia="Times New Roman" w:hAnsi="Times New Roman" w:cs="Times New Roman"/>
          <w:sz w:val="24"/>
          <w:szCs w:val="24"/>
        </w:rPr>
        <w:t>, on a field trip, or at home—</w:t>
      </w:r>
      <w:r w:rsidR="00864CA4">
        <w:rPr>
          <w:rFonts w:ascii="Times New Roman" w:eastAsia="Times New Roman" w:hAnsi="Times New Roman" w:cs="Times New Roman"/>
          <w:sz w:val="24"/>
          <w:szCs w:val="24"/>
        </w:rPr>
        <w:t>students should be able to tether AR or VR goggles</w:t>
      </w:r>
      <w:r w:rsidR="002D11D8">
        <w:rPr>
          <w:rFonts w:ascii="Times New Roman" w:eastAsia="Times New Roman" w:hAnsi="Times New Roman" w:cs="Times New Roman"/>
          <w:sz w:val="24"/>
          <w:szCs w:val="24"/>
        </w:rPr>
        <w:t xml:space="preserve"> or glasses to their notebook or laptop. </w:t>
      </w:r>
    </w:p>
    <w:p w14:paraId="206D5B04" w14:textId="2B05CD4B" w:rsidR="002C7067" w:rsidRDefault="004611D1" w:rsidP="0029785C">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Teleco</w:t>
      </w:r>
      <w:r w:rsidR="0041526C">
        <w:rPr>
          <w:rFonts w:ascii="Times New Roman" w:eastAsia="Times New Roman" w:hAnsi="Times New Roman" w:cs="Times New Roman"/>
          <w:sz w:val="24"/>
          <w:szCs w:val="24"/>
        </w:rPr>
        <w:t>mmuters</w:t>
      </w:r>
      <w:r w:rsidR="008718AA">
        <w:rPr>
          <w:rFonts w:ascii="Times New Roman" w:eastAsia="Times New Roman" w:hAnsi="Times New Roman" w:cs="Times New Roman"/>
          <w:sz w:val="24"/>
          <w:szCs w:val="24"/>
        </w:rPr>
        <w:t>—</w:t>
      </w:r>
      <w:r>
        <w:rPr>
          <w:rFonts w:ascii="Times New Roman" w:eastAsia="Times New Roman" w:hAnsi="Times New Roman" w:cs="Times New Roman"/>
          <w:sz w:val="24"/>
          <w:szCs w:val="24"/>
        </w:rPr>
        <w:t>at home and especially f</w:t>
      </w:r>
      <w:r w:rsidR="008718AA">
        <w:rPr>
          <w:rFonts w:ascii="Times New Roman" w:eastAsia="Times New Roman" w:hAnsi="Times New Roman" w:cs="Times New Roman"/>
          <w:sz w:val="24"/>
          <w:szCs w:val="24"/>
        </w:rPr>
        <w:t>or mobile workers on the move—</w:t>
      </w:r>
      <w:r w:rsidR="0041526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will increasingly benefit from VLP innovation. </w:t>
      </w:r>
      <w:r w:rsidR="00A757E6">
        <w:rPr>
          <w:rFonts w:ascii="Times New Roman" w:eastAsia="Times New Roman" w:hAnsi="Times New Roman" w:cs="Times New Roman"/>
          <w:sz w:val="24"/>
          <w:szCs w:val="24"/>
        </w:rPr>
        <w:t xml:space="preserve">Loom.ai, a company recently profiled by the </w:t>
      </w:r>
      <w:r w:rsidR="00A757E6" w:rsidRPr="002777C2">
        <w:rPr>
          <w:rFonts w:ascii="Times New Roman" w:eastAsia="Times New Roman" w:hAnsi="Times New Roman" w:cs="Times New Roman"/>
          <w:i/>
          <w:sz w:val="24"/>
          <w:szCs w:val="24"/>
        </w:rPr>
        <w:t xml:space="preserve">New </w:t>
      </w:r>
      <w:r w:rsidR="00A757E6" w:rsidRPr="002777C2">
        <w:rPr>
          <w:rFonts w:ascii="Times New Roman" w:eastAsia="Times New Roman" w:hAnsi="Times New Roman" w:cs="Times New Roman"/>
          <w:i/>
          <w:sz w:val="24"/>
          <w:szCs w:val="24"/>
        </w:rPr>
        <w:lastRenderedPageBreak/>
        <w:t>York Times</w:t>
      </w:r>
      <w:r w:rsidR="00A757E6">
        <w:rPr>
          <w:rFonts w:ascii="Times New Roman" w:eastAsia="Times New Roman" w:hAnsi="Times New Roman" w:cs="Times New Roman"/>
          <w:sz w:val="24"/>
          <w:szCs w:val="24"/>
        </w:rPr>
        <w:t>, is one example of a platform that is hoping to use virtual reality, as well as augmented reality glasses, to create virtual and immersive “meeting rooms” and facilitate a virtual work space</w:t>
      </w:r>
      <w:r w:rsidR="002777C2">
        <w:rPr>
          <w:rFonts w:ascii="Times New Roman" w:eastAsia="Times New Roman" w:hAnsi="Times New Roman" w:cs="Times New Roman"/>
          <w:sz w:val="24"/>
          <w:szCs w:val="24"/>
        </w:rPr>
        <w:t xml:space="preserve"> for workers at home or at the office</w:t>
      </w:r>
      <w:r w:rsidR="00A757E6">
        <w:rPr>
          <w:rFonts w:ascii="Times New Roman" w:eastAsia="Times New Roman" w:hAnsi="Times New Roman" w:cs="Times New Roman"/>
          <w:sz w:val="24"/>
          <w:szCs w:val="24"/>
          <w:vertAlign w:val="superscript"/>
        </w:rPr>
        <w:footnoteReference w:id="19"/>
      </w:r>
      <w:r w:rsidR="00A757E6">
        <w:rPr>
          <w:rFonts w:ascii="Times New Roman" w:eastAsia="Times New Roman" w:hAnsi="Times New Roman" w:cs="Times New Roman"/>
          <w:sz w:val="24"/>
          <w:szCs w:val="24"/>
        </w:rPr>
        <w:t xml:space="preserve"> As offices and schools have been forced into remote operations during the COVID-19 pandemic, it has forced a re-think of how both work and learning can be better facilitated in an online format. While deep inequities still exist that leave millions of Americans without the high-speed broadband necessary to participate in remote wor</w:t>
      </w:r>
      <w:r w:rsidR="00607ADA">
        <w:rPr>
          <w:rFonts w:ascii="Times New Roman" w:eastAsia="Times New Roman" w:hAnsi="Times New Roman" w:cs="Times New Roman"/>
          <w:sz w:val="24"/>
          <w:szCs w:val="24"/>
        </w:rPr>
        <w:t>k or learning, these emerging advances</w:t>
      </w:r>
      <w:r w:rsidR="00A757E6">
        <w:rPr>
          <w:rFonts w:ascii="Times New Roman" w:eastAsia="Times New Roman" w:hAnsi="Times New Roman" w:cs="Times New Roman"/>
          <w:sz w:val="24"/>
          <w:szCs w:val="24"/>
        </w:rPr>
        <w:t xml:space="preserve"> in work and school through AR and VR have potential to spur innovations in both spaces to benefit consumers.</w:t>
      </w:r>
    </w:p>
    <w:p w14:paraId="0169D531" w14:textId="7665271E" w:rsidR="002C7067" w:rsidRPr="007776AD" w:rsidRDefault="002C7067" w:rsidP="0029785C">
      <w:pPr>
        <w:pStyle w:val="Heading1"/>
        <w:numPr>
          <w:ilvl w:val="0"/>
          <w:numId w:val="4"/>
        </w:numPr>
        <w:rPr>
          <w:rFonts w:ascii="Times New Roman" w:hAnsi="Times New Roman" w:cs="Times New Roman"/>
          <w:b/>
          <w:sz w:val="24"/>
          <w:szCs w:val="24"/>
        </w:rPr>
      </w:pPr>
      <w:bookmarkStart w:id="2" w:name="_Toc44320728"/>
      <w:r w:rsidRPr="007776AD">
        <w:rPr>
          <w:rFonts w:ascii="Times New Roman" w:hAnsi="Times New Roman" w:cs="Times New Roman"/>
          <w:b/>
          <w:sz w:val="24"/>
          <w:szCs w:val="24"/>
        </w:rPr>
        <w:t>Low-Power Indoor-Only Devices Should be Authorized to Operate at a Higher Power Spectral Density of 8 dBm/MHz and Up to 33 dBm EIRP over a 320 Megahertz Channel</w:t>
      </w:r>
      <w:bookmarkEnd w:id="2"/>
    </w:p>
    <w:p w14:paraId="5A3B8DB6" w14:textId="77777777" w:rsidR="00942110" w:rsidRDefault="00942110" w:rsidP="00942110">
      <w:pPr>
        <w:pStyle w:val="ListParagraph"/>
        <w:spacing w:line="264" w:lineRule="auto"/>
        <w:rPr>
          <w:rFonts w:ascii="Times New Roman" w:eastAsia="Times New Roman" w:hAnsi="Times New Roman" w:cs="Times New Roman"/>
          <w:b/>
          <w:sz w:val="24"/>
          <w:szCs w:val="24"/>
        </w:rPr>
      </w:pPr>
    </w:p>
    <w:p w14:paraId="6421B71C" w14:textId="7F1E6EBF" w:rsidR="002C7067" w:rsidRDefault="00414C0D" w:rsidP="002C706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PISC commends the Commission for authorizing low-power, indoor-only (“LPI”) devices across all 1200 megahertz of the 6 GHz band. At a fully functional power level, this will make the enormous benefits of next generation Wi-Fi technology, including multi-gigabit throughput and low-latency, available and affordable to every home, business, school and library. The only thing that could derail those enormous public interest benefits is if the Commission restricts the power levels for LPI to an arbitrary level that might appear to be a “compromise” with powerful incumbents, but which in practice will make Wi-Fi routers far </w:t>
      </w:r>
      <w:r w:rsidRPr="009E1EA1">
        <w:rPr>
          <w:rFonts w:ascii="Times New Roman" w:eastAsia="Times New Roman" w:hAnsi="Times New Roman" w:cs="Times New Roman"/>
          <w:sz w:val="24"/>
          <w:szCs w:val="24"/>
        </w:rPr>
        <w:t>more costly, complex and less useful for the average household or small business.</w:t>
      </w:r>
    </w:p>
    <w:p w14:paraId="779D83EE" w14:textId="3039C8F1" w:rsidR="00091C3A" w:rsidRPr="00091C3A" w:rsidRDefault="003D0EF7" w:rsidP="00091C3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CableLabs, Charter, </w:t>
      </w:r>
      <w:r w:rsidR="00EA1DC7">
        <w:rPr>
          <w:rFonts w:ascii="Times New Roman" w:eastAsia="Times New Roman" w:hAnsi="Times New Roman" w:cs="Times New Roman"/>
          <w:sz w:val="24"/>
          <w:szCs w:val="24"/>
        </w:rPr>
        <w:t xml:space="preserve">and Comcast have described in connection with its studies showing 6 GHz incumbents would not suffer undue risk of harmful interference at 8 dBm/MHz </w:t>
      </w:r>
      <w:r w:rsidR="00EA1DC7">
        <w:rPr>
          <w:rFonts w:ascii="Times New Roman" w:eastAsia="Times New Roman" w:hAnsi="Times New Roman" w:cs="Times New Roman"/>
          <w:sz w:val="24"/>
          <w:szCs w:val="24"/>
        </w:rPr>
        <w:lastRenderedPageBreak/>
        <w:t xml:space="preserve">PSD, substantial and “negative consumer impacts </w:t>
      </w:r>
      <w:r w:rsidR="00EA1DC7" w:rsidRPr="002D0198">
        <w:rPr>
          <w:rFonts w:ascii="Times New Roman" w:eastAsia="Times New Roman" w:hAnsi="Times New Roman" w:cs="Times New Roman"/>
          <w:sz w:val="24"/>
          <w:szCs w:val="24"/>
        </w:rPr>
        <w:t>would result if LPI Wi-Fi were authorized at a radiated PSD of less than 8 dBm/MHz.</w:t>
      </w:r>
      <w:r w:rsidR="00EA1DC7">
        <w:rPr>
          <w:rFonts w:ascii="Times New Roman" w:eastAsia="Times New Roman" w:hAnsi="Times New Roman" w:cs="Times New Roman"/>
          <w:sz w:val="24"/>
          <w:szCs w:val="24"/>
        </w:rPr>
        <w:t>”</w:t>
      </w:r>
      <w:r w:rsidR="00EA1DC7">
        <w:rPr>
          <w:rStyle w:val="FootnoteReference"/>
          <w:rFonts w:ascii="Times New Roman" w:eastAsia="Times New Roman" w:hAnsi="Times New Roman" w:cs="Times New Roman"/>
          <w:sz w:val="24"/>
          <w:szCs w:val="24"/>
        </w:rPr>
        <w:footnoteReference w:id="20"/>
      </w:r>
      <w:r w:rsidR="00EA1DC7">
        <w:rPr>
          <w:rFonts w:ascii="Times New Roman" w:eastAsia="Times New Roman" w:hAnsi="Times New Roman" w:cs="Times New Roman"/>
          <w:sz w:val="24"/>
          <w:szCs w:val="24"/>
        </w:rPr>
        <w:t xml:space="preserve"> </w:t>
      </w:r>
      <w:r w:rsidR="00091C3A">
        <w:rPr>
          <w:rFonts w:ascii="Times New Roman" w:eastAsia="Times New Roman" w:hAnsi="Times New Roman" w:cs="Times New Roman"/>
          <w:sz w:val="24"/>
          <w:szCs w:val="24"/>
          <w:lang w:val="en-US"/>
        </w:rPr>
        <w:t>I</w:t>
      </w:r>
      <w:r w:rsidR="00091C3A" w:rsidRPr="00091C3A">
        <w:rPr>
          <w:rFonts w:ascii="Times New Roman" w:eastAsia="Times New Roman" w:hAnsi="Times New Roman" w:cs="Times New Roman"/>
          <w:sz w:val="24"/>
          <w:szCs w:val="24"/>
          <w:lang w:val="en-US"/>
        </w:rPr>
        <w:t xml:space="preserve">n the context of the current pandemic, because Wi-Fi 6 routers and devices can come to market as soon as the end of this year, </w:t>
      </w:r>
      <w:r w:rsidR="00E071B1">
        <w:rPr>
          <w:rFonts w:ascii="Times New Roman" w:eastAsia="Times New Roman" w:hAnsi="Times New Roman" w:cs="Times New Roman"/>
          <w:sz w:val="24"/>
          <w:szCs w:val="24"/>
          <w:lang w:val="en-US"/>
        </w:rPr>
        <w:t xml:space="preserve">PISC </w:t>
      </w:r>
      <w:r w:rsidR="00091C3A" w:rsidRPr="00091C3A">
        <w:rPr>
          <w:rFonts w:ascii="Times New Roman" w:eastAsia="Times New Roman" w:hAnsi="Times New Roman" w:cs="Times New Roman"/>
          <w:sz w:val="24"/>
          <w:szCs w:val="24"/>
          <w:lang w:val="en-US"/>
        </w:rPr>
        <w:t xml:space="preserve">believes it is critical that consumers and businesses have the indoor coverage they need to function well and affordably. Nationwide work and school closures have highlighted how critical it is to have affordable, high-capacity internet connectivity throughout every home. Even homes with gigabit-capable fiber or cable service are discovering that today’s Wi-Fi is constrained in supporting multiple users engaged in video conferencing, streaming video and other high-bandwidth applications. Stay-at-home orders are turning homes into classrooms and offices, a situation that could persist to varying degrees into 2021. </w:t>
      </w:r>
    </w:p>
    <w:p w14:paraId="203DEAD2" w14:textId="65D0EADA" w:rsidR="00414C0D" w:rsidRPr="009E1EA1" w:rsidRDefault="00414C0D" w:rsidP="002C7067">
      <w:pPr>
        <w:spacing w:line="480" w:lineRule="auto"/>
        <w:ind w:firstLine="720"/>
        <w:contextualSpacing/>
        <w:rPr>
          <w:rFonts w:ascii="Times New Roman" w:hAnsi="Times New Roman" w:cs="Times New Roman"/>
          <w:sz w:val="24"/>
          <w:szCs w:val="24"/>
        </w:rPr>
      </w:pPr>
      <w:r w:rsidRPr="009E1EA1">
        <w:rPr>
          <w:rFonts w:ascii="Times New Roman" w:hAnsi="Times New Roman" w:cs="Times New Roman"/>
          <w:sz w:val="24"/>
          <w:szCs w:val="24"/>
        </w:rPr>
        <w:t>Accordingly, PISC applauds the Commission for seeking further comment on whether to allow LPI devices to operate at a higher power spectral density of 8 dBm/MHz with a maximum permissible EIRP of 33 dBm for devices operating in a 320 megahertz bandwidth.</w:t>
      </w:r>
      <w:r w:rsidRPr="009E1EA1">
        <w:rPr>
          <w:rStyle w:val="FootnoteReference"/>
          <w:rFonts w:ascii="Times New Roman" w:hAnsi="Times New Roman" w:cs="Times New Roman"/>
          <w:sz w:val="24"/>
          <w:szCs w:val="24"/>
        </w:rPr>
        <w:footnoteReference w:id="21"/>
      </w:r>
      <w:r w:rsidRPr="009E1EA1">
        <w:rPr>
          <w:rFonts w:ascii="Times New Roman" w:hAnsi="Times New Roman" w:cs="Times New Roman"/>
          <w:sz w:val="24"/>
          <w:szCs w:val="24"/>
        </w:rPr>
        <w:t xml:space="preserve"> </w:t>
      </w:r>
      <w:r w:rsidR="0013056E" w:rsidRPr="009E1EA1">
        <w:rPr>
          <w:rFonts w:ascii="Times New Roman" w:hAnsi="Times New Roman" w:cs="Times New Roman"/>
          <w:sz w:val="24"/>
          <w:szCs w:val="24"/>
        </w:rPr>
        <w:t>PISC agrees with the Commission’s acknowledgment that “these rules would be useful for many indoor devices that require high data rate transmissions such as indoor access points communicating with clients like high-performance video game controllers, and wearable video augmented reality and virtual reality devices.”</w:t>
      </w:r>
      <w:r w:rsidR="0013056E" w:rsidRPr="009E1EA1">
        <w:rPr>
          <w:rStyle w:val="FootnoteReference"/>
          <w:rFonts w:ascii="Times New Roman" w:hAnsi="Times New Roman" w:cs="Times New Roman"/>
          <w:sz w:val="24"/>
          <w:szCs w:val="24"/>
        </w:rPr>
        <w:footnoteReference w:id="22"/>
      </w:r>
      <w:r w:rsidR="0013056E" w:rsidRPr="009E1EA1">
        <w:rPr>
          <w:rFonts w:ascii="Times New Roman" w:hAnsi="Times New Roman" w:cs="Times New Roman"/>
          <w:sz w:val="24"/>
          <w:szCs w:val="24"/>
        </w:rPr>
        <w:t xml:space="preserve"> More fundamentally, as advocates for consumers and community anchor institutions, </w:t>
      </w:r>
      <w:r w:rsidR="00F24396" w:rsidRPr="009E1EA1">
        <w:rPr>
          <w:rFonts w:ascii="Times New Roman" w:hAnsi="Times New Roman" w:cs="Times New Roman"/>
          <w:sz w:val="24"/>
          <w:szCs w:val="24"/>
        </w:rPr>
        <w:t xml:space="preserve">our groups are concerned that </w:t>
      </w:r>
      <w:r w:rsidR="0013056E" w:rsidRPr="009E1EA1">
        <w:rPr>
          <w:rFonts w:ascii="Times New Roman" w:hAnsi="Times New Roman" w:cs="Times New Roman"/>
          <w:sz w:val="24"/>
          <w:szCs w:val="24"/>
        </w:rPr>
        <w:t>the fairly modest difference between a maximum 5 dBm/MHz and 8 dBm/MHz is likely to make an enormous difference in the affordability and quality of advanced</w:t>
      </w:r>
      <w:r w:rsidR="00C15512">
        <w:rPr>
          <w:rFonts w:ascii="Times New Roman" w:hAnsi="Times New Roman" w:cs="Times New Roman"/>
          <w:sz w:val="24"/>
          <w:szCs w:val="24"/>
        </w:rPr>
        <w:t xml:space="preserve"> Wi-Fi routers and whole-home</w:t>
      </w:r>
      <w:r w:rsidR="0013056E" w:rsidRPr="009E1EA1">
        <w:rPr>
          <w:rFonts w:ascii="Times New Roman" w:hAnsi="Times New Roman" w:cs="Times New Roman"/>
          <w:sz w:val="24"/>
          <w:szCs w:val="24"/>
        </w:rPr>
        <w:t xml:space="preserve"> coverage.</w:t>
      </w:r>
      <w:r w:rsidR="00F24396" w:rsidRPr="009E1EA1">
        <w:rPr>
          <w:rFonts w:ascii="Times New Roman" w:hAnsi="Times New Roman" w:cs="Times New Roman"/>
          <w:sz w:val="24"/>
          <w:szCs w:val="24"/>
        </w:rPr>
        <w:t xml:space="preserve"> The Commission should not pull the technical rug out from under ordinary consumers, small schools and small </w:t>
      </w:r>
      <w:r w:rsidR="00F24396" w:rsidRPr="009E1EA1">
        <w:rPr>
          <w:rFonts w:ascii="Times New Roman" w:hAnsi="Times New Roman" w:cs="Times New Roman"/>
          <w:sz w:val="24"/>
          <w:szCs w:val="24"/>
        </w:rPr>
        <w:lastRenderedPageBreak/>
        <w:t>businesses unless the engineering evidence in the record clearly establishes that LPI at up to 8 dBm/MHz will measurably and substantially increase the risk of harmful interference to incumbent users in the band.</w:t>
      </w:r>
    </w:p>
    <w:p w14:paraId="72F4FB52" w14:textId="77777777" w:rsidR="00C85CE7" w:rsidRDefault="0085486B" w:rsidP="002C7067">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effective coverage area of an indoor Wi-Fi router is of the utmost importance to consumers. </w:t>
      </w:r>
      <w:r w:rsidR="00265DFA">
        <w:rPr>
          <w:rFonts w:ascii="Times New Roman" w:eastAsia="Times New Roman" w:hAnsi="Times New Roman" w:cs="Times New Roman"/>
          <w:sz w:val="24"/>
          <w:szCs w:val="24"/>
        </w:rPr>
        <w:t xml:space="preserve">Without a minimally-adequate PSD limit, homes and businesses are likely have dead zones or require multiple routers and/repeaters. </w:t>
      </w:r>
      <w:r>
        <w:rPr>
          <w:rFonts w:ascii="Times New Roman" w:eastAsia="Times New Roman" w:hAnsi="Times New Roman" w:cs="Times New Roman"/>
          <w:sz w:val="24"/>
          <w:szCs w:val="24"/>
        </w:rPr>
        <w:t xml:space="preserve">CableLabs has studied this extensively, and credibly, as the FCC recognized in the </w:t>
      </w:r>
      <w:r>
        <w:rPr>
          <w:rFonts w:ascii="Times New Roman" w:eastAsia="Times New Roman" w:hAnsi="Times New Roman" w:cs="Times New Roman"/>
          <w:i/>
          <w:sz w:val="24"/>
          <w:szCs w:val="24"/>
        </w:rPr>
        <w:t>Report and Order</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CableLabs found that i</w:t>
      </w:r>
      <w:r w:rsidRPr="0085486B">
        <w:rPr>
          <w:rFonts w:ascii="Times New Roman" w:eastAsia="Times New Roman" w:hAnsi="Times New Roman" w:cs="Times New Roman"/>
          <w:sz w:val="24"/>
          <w:szCs w:val="24"/>
          <w:lang w:val="en-US"/>
        </w:rPr>
        <w:t xml:space="preserve">ncreasing the PSD limit </w:t>
      </w:r>
      <w:r>
        <w:rPr>
          <w:rFonts w:ascii="Times New Roman" w:eastAsia="Times New Roman" w:hAnsi="Times New Roman" w:cs="Times New Roman"/>
          <w:sz w:val="24"/>
          <w:szCs w:val="24"/>
          <w:lang w:val="en-US"/>
        </w:rPr>
        <w:t xml:space="preserve">from 5 </w:t>
      </w:r>
      <w:r w:rsidRPr="0085486B">
        <w:rPr>
          <w:rFonts w:ascii="Times New Roman" w:eastAsia="Times New Roman" w:hAnsi="Times New Roman" w:cs="Times New Roman"/>
          <w:sz w:val="24"/>
          <w:szCs w:val="24"/>
          <w:lang w:val="en-US"/>
        </w:rPr>
        <w:t>to 8 dBm/MHz will increase the coverage by 31 to 43 percent and throughput by 53 to 63 percent, on average.</w:t>
      </w:r>
      <w:r w:rsidRPr="0085486B">
        <w:rPr>
          <w:rFonts w:ascii="Times New Roman" w:eastAsia="Times New Roman" w:hAnsi="Times New Roman" w:cs="Times New Roman"/>
          <w:sz w:val="24"/>
          <w:szCs w:val="24"/>
          <w:vertAlign w:val="superscript"/>
          <w:lang w:val="en-US"/>
        </w:rPr>
        <w:footnoteReference w:id="24"/>
      </w:r>
      <w:r>
        <w:rPr>
          <w:rFonts w:ascii="Times New Roman" w:eastAsia="Times New Roman" w:hAnsi="Times New Roman" w:cs="Times New Roman"/>
          <w:sz w:val="24"/>
          <w:szCs w:val="24"/>
          <w:lang w:val="en-US"/>
        </w:rPr>
        <w:t xml:space="preserve"> </w:t>
      </w:r>
    </w:p>
    <w:p w14:paraId="426EE2AF" w14:textId="7BA6BD49" w:rsidR="0013056E" w:rsidRDefault="00442F37" w:rsidP="002C7067">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increase in coverage is hugely valuable to consumers</w:t>
      </w:r>
      <w:r w:rsidR="00C85CE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C85CE7">
        <w:rPr>
          <w:rFonts w:ascii="Times New Roman" w:eastAsia="Times New Roman" w:hAnsi="Times New Roman" w:cs="Times New Roman"/>
          <w:sz w:val="24"/>
          <w:szCs w:val="24"/>
          <w:lang w:val="en-US"/>
        </w:rPr>
        <w:t xml:space="preserve">enterprise </w:t>
      </w:r>
      <w:r>
        <w:rPr>
          <w:rFonts w:ascii="Times New Roman" w:eastAsia="Times New Roman" w:hAnsi="Times New Roman" w:cs="Times New Roman"/>
          <w:sz w:val="24"/>
          <w:szCs w:val="24"/>
          <w:lang w:val="en-US"/>
        </w:rPr>
        <w:t>and to the</w:t>
      </w:r>
      <w:r w:rsidR="00C85CE7">
        <w:rPr>
          <w:rFonts w:ascii="Times New Roman" w:eastAsia="Times New Roman" w:hAnsi="Times New Roman" w:cs="Times New Roman"/>
          <w:sz w:val="24"/>
          <w:szCs w:val="24"/>
          <w:lang w:val="en-US"/>
        </w:rPr>
        <w:t xml:space="preserve"> broader</w:t>
      </w:r>
      <w:r>
        <w:rPr>
          <w:rFonts w:ascii="Times New Roman" w:eastAsia="Times New Roman" w:hAnsi="Times New Roman" w:cs="Times New Roman"/>
          <w:sz w:val="24"/>
          <w:szCs w:val="24"/>
          <w:lang w:val="en-US"/>
        </w:rPr>
        <w:t xml:space="preserve"> economy. </w:t>
      </w:r>
      <w:r w:rsidR="00C15512">
        <w:rPr>
          <w:rFonts w:ascii="Times New Roman" w:eastAsia="Times New Roman" w:hAnsi="Times New Roman" w:cs="Times New Roman"/>
          <w:sz w:val="24"/>
          <w:szCs w:val="24"/>
          <w:lang w:val="en-US"/>
        </w:rPr>
        <w:t xml:space="preserve"> In addition to homes, small businesses and community anchor institutions, even large enterprises will need robust indoor coverage for factory automation, warehouse fulfillment centers and other venues where industrial IoT can boost productivity. For example, Mettis Aerospace</w:t>
      </w:r>
      <w:r w:rsidR="00C85CE7">
        <w:rPr>
          <w:rFonts w:ascii="Times New Roman" w:eastAsia="Times New Roman" w:hAnsi="Times New Roman" w:cs="Times New Roman"/>
          <w:sz w:val="24"/>
          <w:szCs w:val="24"/>
          <w:lang w:val="en-US"/>
        </w:rPr>
        <w:t xml:space="preserve"> has </w:t>
      </w:r>
      <w:r w:rsidR="00C15512">
        <w:rPr>
          <w:rFonts w:ascii="Times New Roman" w:eastAsia="Times New Roman" w:hAnsi="Times New Roman" w:cs="Times New Roman"/>
          <w:sz w:val="24"/>
          <w:szCs w:val="24"/>
          <w:lang w:val="en-US"/>
        </w:rPr>
        <w:t xml:space="preserve">demonstrated at its 27-acre manufacturing facility in England that a Wi-Fi 6 IoT network using 80 megahertz channels can support </w:t>
      </w:r>
      <w:r w:rsidR="00C15512">
        <w:rPr>
          <w:rFonts w:ascii="Times New Roman" w:eastAsia="Times New Roman" w:hAnsi="Times New Roman" w:cs="Times New Roman"/>
          <w:sz w:val="24"/>
          <w:szCs w:val="24"/>
        </w:rPr>
        <w:t xml:space="preserve">applications including </w:t>
      </w:r>
      <w:r w:rsidR="00C15512" w:rsidRPr="00C15512">
        <w:rPr>
          <w:rFonts w:ascii="Times New Roman" w:eastAsia="Times New Roman" w:hAnsi="Times New Roman" w:cs="Times New Roman"/>
          <w:sz w:val="24"/>
          <w:szCs w:val="24"/>
        </w:rPr>
        <w:t xml:space="preserve">4K video streaming, </w:t>
      </w:r>
      <w:r w:rsidR="00C15512">
        <w:rPr>
          <w:rFonts w:ascii="Times New Roman" w:eastAsia="Times New Roman" w:hAnsi="Times New Roman" w:cs="Times New Roman"/>
          <w:sz w:val="24"/>
          <w:szCs w:val="24"/>
        </w:rPr>
        <w:t xml:space="preserve">AR, </w:t>
      </w:r>
      <w:r w:rsidR="00C15512" w:rsidRPr="00C15512">
        <w:rPr>
          <w:rFonts w:ascii="Times New Roman" w:eastAsia="Times New Roman" w:hAnsi="Times New Roman" w:cs="Times New Roman"/>
          <w:sz w:val="24"/>
          <w:szCs w:val="24"/>
        </w:rPr>
        <w:t xml:space="preserve">large-scale file transfers, messaging and voice/video communications, as well as </w:t>
      </w:r>
      <w:r w:rsidR="00C15512">
        <w:rPr>
          <w:rFonts w:ascii="Times New Roman" w:eastAsia="Times New Roman" w:hAnsi="Times New Roman" w:cs="Times New Roman"/>
          <w:sz w:val="24"/>
          <w:szCs w:val="24"/>
        </w:rPr>
        <w:t xml:space="preserve">collecting data from thousands of IoT </w:t>
      </w:r>
      <w:r w:rsidR="00C15512" w:rsidRPr="00C15512">
        <w:rPr>
          <w:rFonts w:ascii="Times New Roman" w:eastAsia="Times New Roman" w:hAnsi="Times New Roman" w:cs="Times New Roman"/>
          <w:sz w:val="24"/>
          <w:szCs w:val="24"/>
        </w:rPr>
        <w:t>sensor</w:t>
      </w:r>
      <w:r w:rsidR="00C15512">
        <w:rPr>
          <w:rFonts w:ascii="Times New Roman" w:eastAsia="Times New Roman" w:hAnsi="Times New Roman" w:cs="Times New Roman"/>
          <w:sz w:val="24"/>
          <w:szCs w:val="24"/>
        </w:rPr>
        <w:t>s.</w:t>
      </w:r>
      <w:r w:rsidR="00C15512">
        <w:rPr>
          <w:rStyle w:val="FootnoteReference"/>
          <w:rFonts w:ascii="Times New Roman" w:eastAsia="Times New Roman" w:hAnsi="Times New Roman" w:cs="Times New Roman"/>
          <w:sz w:val="24"/>
          <w:szCs w:val="24"/>
        </w:rPr>
        <w:footnoteReference w:id="25"/>
      </w:r>
    </w:p>
    <w:p w14:paraId="29D1C5A7" w14:textId="5FBC99C5" w:rsidR="0072505E" w:rsidRDefault="00442F37" w:rsidP="0066608B">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Despite compelling public interest benefits, we concede that authorizing a higher PSD limit for LPI use would be difficult to justify if the record had solid engineering evidence that the </w:t>
      </w:r>
      <w:r>
        <w:rPr>
          <w:rFonts w:ascii="Times New Roman" w:eastAsia="Times New Roman" w:hAnsi="Times New Roman" w:cs="Times New Roman"/>
          <w:sz w:val="24"/>
          <w:szCs w:val="24"/>
          <w:lang w:val="en-US"/>
        </w:rPr>
        <w:lastRenderedPageBreak/>
        <w:t>diffe</w:t>
      </w:r>
      <w:r w:rsidR="003125A7">
        <w:rPr>
          <w:rFonts w:ascii="Times New Roman" w:eastAsia="Times New Roman" w:hAnsi="Times New Roman" w:cs="Times New Roman"/>
          <w:sz w:val="24"/>
          <w:szCs w:val="24"/>
          <w:lang w:val="en-US"/>
        </w:rPr>
        <w:t>rence between 5 and 8 dBm/MHz would make</w:t>
      </w:r>
      <w:r>
        <w:rPr>
          <w:rFonts w:ascii="Times New Roman" w:eastAsia="Times New Roman" w:hAnsi="Times New Roman" w:cs="Times New Roman"/>
          <w:sz w:val="24"/>
          <w:szCs w:val="24"/>
          <w:lang w:val="en-US"/>
        </w:rPr>
        <w:t xml:space="preserve"> the difference between an extremely low risk of harmful interference to critical fixed links and, at 8 dBm/MHz, a substantially greater risk. However, the record clearly shows this is not the case. </w:t>
      </w:r>
      <w:r w:rsidR="000671EC" w:rsidRPr="000671EC">
        <w:rPr>
          <w:rFonts w:ascii="Times New Roman" w:eastAsia="Times New Roman" w:hAnsi="Times New Roman" w:cs="Times New Roman"/>
          <w:sz w:val="24"/>
          <w:szCs w:val="24"/>
          <w:lang w:val="en-US"/>
        </w:rPr>
        <w:t xml:space="preserve">CableLabs submitted </w:t>
      </w:r>
      <w:r w:rsidR="000671EC">
        <w:rPr>
          <w:rFonts w:ascii="Times New Roman" w:eastAsia="Times New Roman" w:hAnsi="Times New Roman" w:cs="Times New Roman"/>
          <w:sz w:val="24"/>
          <w:szCs w:val="24"/>
          <w:lang w:val="en-US"/>
        </w:rPr>
        <w:t xml:space="preserve">multiple studies with extensive </w:t>
      </w:r>
      <w:r w:rsidR="000671EC" w:rsidRPr="000671EC">
        <w:rPr>
          <w:rFonts w:ascii="Times New Roman" w:eastAsia="Times New Roman" w:hAnsi="Times New Roman" w:cs="Times New Roman"/>
          <w:sz w:val="24"/>
          <w:szCs w:val="24"/>
          <w:lang w:val="en-US"/>
        </w:rPr>
        <w:t xml:space="preserve">analysis that modeled the interference </w:t>
      </w:r>
      <w:r w:rsidR="000671EC">
        <w:rPr>
          <w:rFonts w:ascii="Times New Roman" w:eastAsia="Times New Roman" w:hAnsi="Times New Roman" w:cs="Times New Roman"/>
          <w:sz w:val="24"/>
          <w:szCs w:val="24"/>
          <w:lang w:val="en-US"/>
        </w:rPr>
        <w:t xml:space="preserve">risk of LPI devices </w:t>
      </w:r>
      <w:r w:rsidR="000671EC" w:rsidRPr="000671EC">
        <w:rPr>
          <w:rFonts w:ascii="Times New Roman" w:eastAsia="Times New Roman" w:hAnsi="Times New Roman" w:cs="Times New Roman"/>
          <w:sz w:val="24"/>
          <w:szCs w:val="24"/>
          <w:lang w:val="en-US"/>
        </w:rPr>
        <w:t xml:space="preserve">to microwave </w:t>
      </w:r>
      <w:r w:rsidR="000671EC">
        <w:rPr>
          <w:rFonts w:ascii="Times New Roman" w:eastAsia="Times New Roman" w:hAnsi="Times New Roman" w:cs="Times New Roman"/>
          <w:sz w:val="24"/>
          <w:szCs w:val="24"/>
          <w:lang w:val="en-US"/>
        </w:rPr>
        <w:t xml:space="preserve">P2P </w:t>
      </w:r>
      <w:r w:rsidR="000671EC" w:rsidRPr="000671EC">
        <w:rPr>
          <w:rFonts w:ascii="Times New Roman" w:eastAsia="Times New Roman" w:hAnsi="Times New Roman" w:cs="Times New Roman"/>
          <w:sz w:val="24"/>
          <w:szCs w:val="24"/>
          <w:lang w:val="en-US"/>
        </w:rPr>
        <w:t>receivers</w:t>
      </w:r>
      <w:r w:rsidR="000671EC">
        <w:rPr>
          <w:rFonts w:ascii="Times New Roman" w:eastAsia="Times New Roman" w:hAnsi="Times New Roman" w:cs="Times New Roman"/>
          <w:sz w:val="24"/>
          <w:szCs w:val="24"/>
          <w:lang w:val="en-US"/>
        </w:rPr>
        <w:t xml:space="preserve">, including </w:t>
      </w:r>
      <w:r w:rsidR="000671EC" w:rsidRPr="000671EC">
        <w:rPr>
          <w:rFonts w:ascii="Times New Roman" w:eastAsia="Times New Roman" w:hAnsi="Times New Roman" w:cs="Times New Roman"/>
          <w:sz w:val="24"/>
          <w:szCs w:val="24"/>
          <w:lang w:val="en-US"/>
        </w:rPr>
        <w:t>simul</w:t>
      </w:r>
      <w:r w:rsidR="000671EC">
        <w:rPr>
          <w:rFonts w:ascii="Times New Roman" w:eastAsia="Times New Roman" w:hAnsi="Times New Roman" w:cs="Times New Roman"/>
          <w:sz w:val="24"/>
          <w:szCs w:val="24"/>
          <w:lang w:val="en-US"/>
        </w:rPr>
        <w:t>ation results that assumed all of the LPI</w:t>
      </w:r>
      <w:r w:rsidR="000671EC" w:rsidRPr="000671EC">
        <w:rPr>
          <w:rFonts w:ascii="Times New Roman" w:eastAsia="Times New Roman" w:hAnsi="Times New Roman" w:cs="Times New Roman"/>
          <w:sz w:val="24"/>
          <w:szCs w:val="24"/>
          <w:lang w:val="en-US"/>
        </w:rPr>
        <w:t xml:space="preserve"> access points operated at</w:t>
      </w:r>
      <w:r w:rsidR="000671EC">
        <w:rPr>
          <w:rFonts w:ascii="Times New Roman" w:eastAsia="Times New Roman" w:hAnsi="Times New Roman" w:cs="Times New Roman"/>
          <w:sz w:val="24"/>
          <w:szCs w:val="24"/>
          <w:lang w:val="en-US"/>
        </w:rPr>
        <w:t xml:space="preserve"> a PSD of</w:t>
      </w:r>
      <w:r w:rsidR="000671EC" w:rsidRPr="000671EC">
        <w:rPr>
          <w:rFonts w:ascii="Times New Roman" w:eastAsia="Times New Roman" w:hAnsi="Times New Roman" w:cs="Times New Roman"/>
          <w:sz w:val="24"/>
          <w:szCs w:val="24"/>
          <w:lang w:val="en-US"/>
        </w:rPr>
        <w:t xml:space="preserve"> 8 dBm/MHz.</w:t>
      </w:r>
      <w:r w:rsidR="000671EC" w:rsidRPr="000671EC">
        <w:rPr>
          <w:rFonts w:ascii="Times New Roman" w:eastAsia="Times New Roman" w:hAnsi="Times New Roman" w:cs="Times New Roman"/>
          <w:sz w:val="24"/>
          <w:szCs w:val="24"/>
          <w:vertAlign w:val="superscript"/>
          <w:lang w:val="en-US"/>
        </w:rPr>
        <w:footnoteReference w:id="26"/>
      </w:r>
      <w:r w:rsidR="000671EC" w:rsidRPr="000671EC">
        <w:rPr>
          <w:rFonts w:ascii="Times New Roman" w:eastAsia="Times New Roman" w:hAnsi="Times New Roman" w:cs="Times New Roman"/>
          <w:sz w:val="24"/>
          <w:szCs w:val="24"/>
          <w:lang w:val="en-US"/>
        </w:rPr>
        <w:t xml:space="preserve"> </w:t>
      </w:r>
      <w:r w:rsidR="006779A3">
        <w:rPr>
          <w:rFonts w:ascii="Times New Roman" w:eastAsia="Times New Roman" w:hAnsi="Times New Roman" w:cs="Times New Roman"/>
          <w:sz w:val="24"/>
          <w:szCs w:val="24"/>
          <w:lang w:val="en-US"/>
        </w:rPr>
        <w:t xml:space="preserve">The CableLabs simulation study showed that the interference protection criteria were met at both 5 dBm/MHz PSD </w:t>
      </w:r>
      <w:r w:rsidR="006779A3">
        <w:rPr>
          <w:rFonts w:ascii="Times New Roman" w:eastAsia="Times New Roman" w:hAnsi="Times New Roman" w:cs="Times New Roman"/>
          <w:i/>
          <w:sz w:val="24"/>
          <w:szCs w:val="24"/>
          <w:lang w:val="en-US"/>
        </w:rPr>
        <w:t>and</w:t>
      </w:r>
      <w:r w:rsidR="006779A3">
        <w:rPr>
          <w:rFonts w:ascii="Times New Roman" w:eastAsia="Times New Roman" w:hAnsi="Times New Roman" w:cs="Times New Roman"/>
          <w:sz w:val="24"/>
          <w:szCs w:val="24"/>
          <w:lang w:val="en-US"/>
        </w:rPr>
        <w:t xml:space="preserve"> at the higher 8 dBm PSD. In the </w:t>
      </w:r>
      <w:r w:rsidR="006779A3">
        <w:rPr>
          <w:rFonts w:ascii="Times New Roman" w:eastAsia="Times New Roman" w:hAnsi="Times New Roman" w:cs="Times New Roman"/>
          <w:i/>
          <w:sz w:val="24"/>
          <w:szCs w:val="24"/>
          <w:lang w:val="en-US"/>
        </w:rPr>
        <w:t>Report and Order</w:t>
      </w:r>
      <w:r w:rsidR="006779A3">
        <w:rPr>
          <w:rFonts w:ascii="Times New Roman" w:eastAsia="Times New Roman" w:hAnsi="Times New Roman" w:cs="Times New Roman"/>
          <w:sz w:val="24"/>
          <w:szCs w:val="24"/>
          <w:lang w:val="en-US"/>
        </w:rPr>
        <w:t>, the Commi</w:t>
      </w:r>
      <w:r w:rsidR="0066608B">
        <w:rPr>
          <w:rFonts w:ascii="Times New Roman" w:eastAsia="Times New Roman" w:hAnsi="Times New Roman" w:cs="Times New Roman"/>
          <w:sz w:val="24"/>
          <w:szCs w:val="24"/>
          <w:lang w:val="en-US"/>
        </w:rPr>
        <w:t>s</w:t>
      </w:r>
      <w:r w:rsidR="006779A3">
        <w:rPr>
          <w:rFonts w:ascii="Times New Roman" w:eastAsia="Times New Roman" w:hAnsi="Times New Roman" w:cs="Times New Roman"/>
          <w:sz w:val="24"/>
          <w:szCs w:val="24"/>
          <w:lang w:val="en-US"/>
        </w:rPr>
        <w:t>ssion</w:t>
      </w:r>
      <w:r w:rsidR="003125A7">
        <w:rPr>
          <w:rFonts w:ascii="Times New Roman" w:eastAsia="Times New Roman" w:hAnsi="Times New Roman" w:cs="Times New Roman"/>
          <w:sz w:val="24"/>
          <w:szCs w:val="24"/>
          <w:lang w:val="en-US"/>
        </w:rPr>
        <w:t xml:space="preserve"> </w:t>
      </w:r>
      <w:r w:rsidR="006779A3">
        <w:rPr>
          <w:rFonts w:ascii="Times New Roman" w:eastAsia="Times New Roman" w:hAnsi="Times New Roman" w:cs="Times New Roman"/>
          <w:sz w:val="24"/>
          <w:szCs w:val="24"/>
          <w:lang w:val="en-US"/>
        </w:rPr>
        <w:t>described in detail why it found the CableLabs study to be “persuasive” and not flawed as incumbents claimed, stating:</w:t>
      </w:r>
      <w:r w:rsidR="006779A3">
        <w:rPr>
          <w:rFonts w:ascii="Times New Roman" w:eastAsia="Times New Roman" w:hAnsi="Times New Roman" w:cs="Times New Roman"/>
          <w:i/>
          <w:sz w:val="24"/>
          <w:szCs w:val="24"/>
          <w:lang w:val="en-US"/>
        </w:rPr>
        <w:t xml:space="preserve"> </w:t>
      </w:r>
      <w:r w:rsidR="006779A3">
        <w:rPr>
          <w:rFonts w:ascii="Times New Roman" w:eastAsia="Times New Roman" w:hAnsi="Times New Roman" w:cs="Times New Roman"/>
          <w:sz w:val="24"/>
          <w:szCs w:val="24"/>
          <w:lang w:val="en-US"/>
        </w:rPr>
        <w:t>“</w:t>
      </w:r>
      <w:r w:rsidR="006779A3" w:rsidRPr="006779A3">
        <w:rPr>
          <w:rFonts w:ascii="Times New Roman" w:eastAsia="Times New Roman" w:hAnsi="Times New Roman" w:cs="Times New Roman"/>
          <w:sz w:val="24"/>
          <w:szCs w:val="24"/>
          <w:lang w:val="en-US"/>
        </w:rPr>
        <w:t>We find the CableLabs’ study persuasive because it uses actual airtime utilization data</w:t>
      </w:r>
      <w:r w:rsidR="006779A3">
        <w:rPr>
          <w:rFonts w:ascii="Times New Roman" w:eastAsia="Times New Roman" w:hAnsi="Times New Roman" w:cs="Times New Roman"/>
          <w:sz w:val="24"/>
          <w:szCs w:val="24"/>
          <w:lang w:val="en-US"/>
        </w:rPr>
        <w:t xml:space="preserve"> </w:t>
      </w:r>
      <w:r w:rsidR="006779A3" w:rsidRPr="006779A3">
        <w:rPr>
          <w:rFonts w:ascii="Times New Roman" w:eastAsia="Times New Roman" w:hAnsi="Times New Roman" w:cs="Times New Roman"/>
          <w:sz w:val="24"/>
          <w:szCs w:val="24"/>
          <w:lang w:val="en-US"/>
        </w:rPr>
        <w:t>for hundreds of thousands of Wi-Fi access points along with a statistical model for building entry loss.</w:t>
      </w:r>
      <w:r w:rsidR="006779A3">
        <w:rPr>
          <w:rFonts w:ascii="Times New Roman" w:eastAsia="Times New Roman" w:hAnsi="Times New Roman" w:cs="Times New Roman"/>
          <w:sz w:val="24"/>
          <w:szCs w:val="24"/>
          <w:lang w:val="en-US"/>
        </w:rPr>
        <w:t>”</w:t>
      </w:r>
      <w:r w:rsidR="006779A3">
        <w:rPr>
          <w:rStyle w:val="FootnoteReference"/>
          <w:rFonts w:ascii="Times New Roman" w:eastAsia="Times New Roman" w:hAnsi="Times New Roman" w:cs="Times New Roman"/>
          <w:sz w:val="24"/>
          <w:szCs w:val="24"/>
          <w:lang w:val="en-US"/>
        </w:rPr>
        <w:footnoteReference w:id="27"/>
      </w:r>
      <w:r w:rsidR="0066608B">
        <w:rPr>
          <w:rFonts w:ascii="Times New Roman" w:eastAsia="Times New Roman" w:hAnsi="Times New Roman" w:cs="Times New Roman"/>
          <w:sz w:val="24"/>
          <w:szCs w:val="24"/>
          <w:lang w:val="en-US"/>
        </w:rPr>
        <w:t xml:space="preserve"> The </w:t>
      </w:r>
      <w:r w:rsidR="0066608B">
        <w:rPr>
          <w:rFonts w:ascii="Times New Roman" w:eastAsia="Times New Roman" w:hAnsi="Times New Roman" w:cs="Times New Roman"/>
          <w:i/>
          <w:sz w:val="24"/>
          <w:szCs w:val="24"/>
          <w:lang w:val="en-US"/>
        </w:rPr>
        <w:t>Report and Order</w:t>
      </w:r>
      <w:r w:rsidR="0066608B">
        <w:rPr>
          <w:rFonts w:ascii="Times New Roman" w:eastAsia="Times New Roman" w:hAnsi="Times New Roman" w:cs="Times New Roman"/>
          <w:sz w:val="24"/>
          <w:szCs w:val="24"/>
          <w:lang w:val="en-US"/>
        </w:rPr>
        <w:t xml:space="preserve"> further found that the CableLabs </w:t>
      </w:r>
      <w:r w:rsidR="0066608B" w:rsidRPr="0066608B">
        <w:rPr>
          <w:rFonts w:ascii="Times New Roman" w:eastAsia="Times New Roman" w:hAnsi="Times New Roman" w:cs="Times New Roman"/>
          <w:sz w:val="24"/>
          <w:szCs w:val="24"/>
          <w:lang w:val="en-US"/>
        </w:rPr>
        <w:t>simulation results</w:t>
      </w:r>
      <w:r w:rsidR="0066608B">
        <w:rPr>
          <w:rFonts w:ascii="Times New Roman" w:eastAsia="Times New Roman" w:hAnsi="Times New Roman" w:cs="Times New Roman"/>
          <w:sz w:val="24"/>
          <w:szCs w:val="24"/>
          <w:lang w:val="en-US"/>
        </w:rPr>
        <w:t xml:space="preserve"> “addresses</w:t>
      </w:r>
      <w:r w:rsidR="0066608B" w:rsidRPr="0066608B">
        <w:rPr>
          <w:rFonts w:ascii="Times New Roman" w:eastAsia="Times New Roman" w:hAnsi="Times New Roman" w:cs="Times New Roman"/>
          <w:sz w:val="24"/>
          <w:szCs w:val="24"/>
          <w:lang w:val="en-US"/>
        </w:rPr>
        <w:t>AT&amp;T’s concern by assuming all access poin</w:t>
      </w:r>
      <w:r w:rsidR="0066608B">
        <w:rPr>
          <w:rFonts w:ascii="Times New Roman" w:eastAsia="Times New Roman" w:hAnsi="Times New Roman" w:cs="Times New Roman"/>
          <w:sz w:val="24"/>
          <w:szCs w:val="24"/>
          <w:lang w:val="en-US"/>
        </w:rPr>
        <w:t>ts operate at 8 dBm/MHz and . . .</w:t>
      </w:r>
      <w:r w:rsidR="0066608B" w:rsidRPr="0066608B">
        <w:rPr>
          <w:rFonts w:ascii="Times New Roman" w:eastAsia="Times New Roman" w:hAnsi="Times New Roman" w:cs="Times New Roman"/>
          <w:sz w:val="24"/>
          <w:szCs w:val="24"/>
          <w:lang w:val="en-US"/>
        </w:rPr>
        <w:t xml:space="preserve"> show the I/N was less</w:t>
      </w:r>
      <w:r w:rsidR="0066608B">
        <w:rPr>
          <w:rFonts w:ascii="Times New Roman" w:eastAsia="Times New Roman" w:hAnsi="Times New Roman" w:cs="Times New Roman"/>
          <w:sz w:val="24"/>
          <w:szCs w:val="24"/>
          <w:lang w:val="en-US"/>
        </w:rPr>
        <w:t xml:space="preserve"> than -6 dB in all instances,”</w:t>
      </w:r>
      <w:r w:rsidR="0066608B">
        <w:rPr>
          <w:rStyle w:val="FootnoteReference"/>
          <w:rFonts w:ascii="Times New Roman" w:eastAsia="Times New Roman" w:hAnsi="Times New Roman" w:cs="Times New Roman"/>
          <w:sz w:val="24"/>
          <w:szCs w:val="24"/>
          <w:lang w:val="en-US"/>
        </w:rPr>
        <w:footnoteReference w:id="28"/>
      </w:r>
      <w:r w:rsidR="0066608B">
        <w:rPr>
          <w:rFonts w:ascii="Times New Roman" w:eastAsia="Times New Roman" w:hAnsi="Times New Roman" w:cs="Times New Roman"/>
          <w:sz w:val="24"/>
          <w:szCs w:val="24"/>
          <w:lang w:val="en-US"/>
        </w:rPr>
        <w:t xml:space="preserve"> the level that</w:t>
      </w:r>
      <w:r w:rsidR="0066608B" w:rsidRPr="001B215D">
        <w:rPr>
          <w:rFonts w:ascii="Times New Roman" w:eastAsia="Times New Roman" w:hAnsi="Times New Roman" w:cs="Times New Roman"/>
          <w:sz w:val="24"/>
          <w:szCs w:val="24"/>
          <w:lang w:val="en-US"/>
        </w:rPr>
        <w:t xml:space="preserve"> the Fixed Wireless Communications Coalition, which represents the interest of the fixed microwave licensees, uses as a threshold for harmful interference to fixed microwave links.</w:t>
      </w:r>
      <w:r w:rsidR="00091C3A">
        <w:rPr>
          <w:rStyle w:val="FootnoteReference"/>
          <w:rFonts w:ascii="Times New Roman" w:eastAsia="Times New Roman" w:hAnsi="Times New Roman" w:cs="Times New Roman"/>
          <w:sz w:val="24"/>
          <w:szCs w:val="24"/>
          <w:lang w:val="en-US"/>
        </w:rPr>
        <w:footnoteReference w:id="29"/>
      </w:r>
    </w:p>
    <w:p w14:paraId="40F6C570" w14:textId="742558E1" w:rsidR="006A51AF" w:rsidRPr="006A51AF" w:rsidRDefault="008478E9" w:rsidP="006A51AF">
      <w:pPr>
        <w:spacing w:line="480" w:lineRule="auto"/>
        <w:ind w:firstLine="720"/>
        <w:contextualSpacing/>
        <w:rPr>
          <w:rFonts w:ascii="Times New Roman" w:eastAsia="Times New Roman" w:hAnsi="Times New Roman" w:cs="Times New Roman"/>
          <w:sz w:val="24"/>
          <w:szCs w:val="24"/>
          <w:lang w:val="en-US"/>
        </w:rPr>
      </w:pPr>
      <w:r w:rsidRPr="008478E9">
        <w:rPr>
          <w:rFonts w:ascii="Times New Roman" w:eastAsia="Times New Roman" w:hAnsi="Times New Roman" w:cs="Times New Roman"/>
          <w:sz w:val="24"/>
          <w:szCs w:val="24"/>
          <w:lang w:val="en-US"/>
        </w:rPr>
        <w:t xml:space="preserve">In addition, as the </w:t>
      </w:r>
      <w:r>
        <w:rPr>
          <w:rFonts w:ascii="Times New Roman" w:eastAsia="Times New Roman" w:hAnsi="Times New Roman" w:cs="Times New Roman"/>
          <w:i/>
          <w:sz w:val="24"/>
          <w:szCs w:val="24"/>
          <w:lang w:val="en-US"/>
        </w:rPr>
        <w:t>Report and Order</w:t>
      </w:r>
      <w:r w:rsidRPr="008478E9">
        <w:rPr>
          <w:rFonts w:ascii="Times New Roman" w:eastAsia="Times New Roman" w:hAnsi="Times New Roman" w:cs="Times New Roman"/>
          <w:sz w:val="24"/>
          <w:szCs w:val="24"/>
          <w:lang w:val="en-US"/>
        </w:rPr>
        <w:t xml:space="preserve"> acknowledges, </w:t>
      </w:r>
      <w:r w:rsidRPr="008478E9">
        <w:rPr>
          <w:rFonts w:ascii="Times New Roman" w:eastAsia="Times New Roman" w:hAnsi="Times New Roman" w:cs="Times New Roman"/>
          <w:sz w:val="24"/>
          <w:szCs w:val="24"/>
        </w:rPr>
        <w:t xml:space="preserve">the “sporadic and bursty nature of Wi-Fi transmissions,” which is inherent in the contention-based protocol the Commission </w:t>
      </w:r>
      <w:r w:rsidRPr="008478E9">
        <w:rPr>
          <w:rFonts w:ascii="Times New Roman" w:eastAsia="Times New Roman" w:hAnsi="Times New Roman" w:cs="Times New Roman"/>
          <w:sz w:val="24"/>
          <w:szCs w:val="24"/>
        </w:rPr>
        <w:lastRenderedPageBreak/>
        <w:t>mandates in this Order, makes the occurrence of harmful interference even less likely.</w:t>
      </w:r>
      <w:r w:rsidRPr="008478E9">
        <w:rPr>
          <w:rFonts w:ascii="Times New Roman" w:eastAsia="Times New Roman" w:hAnsi="Times New Roman" w:cs="Times New Roman"/>
          <w:sz w:val="24"/>
          <w:szCs w:val="24"/>
          <w:vertAlign w:val="superscript"/>
        </w:rPr>
        <w:footnoteReference w:id="30"/>
      </w:r>
      <w:r w:rsidRPr="008478E9">
        <w:rPr>
          <w:rFonts w:ascii="Times New Roman" w:eastAsia="Times New Roman" w:hAnsi="Times New Roman" w:cs="Times New Roman"/>
          <w:sz w:val="24"/>
          <w:szCs w:val="24"/>
        </w:rPr>
        <w:t xml:space="preserve"> Moreover, as the </w:t>
      </w:r>
      <w:r>
        <w:rPr>
          <w:rFonts w:ascii="Times New Roman" w:eastAsia="Times New Roman" w:hAnsi="Times New Roman" w:cs="Times New Roman"/>
          <w:i/>
          <w:sz w:val="24"/>
          <w:szCs w:val="24"/>
          <w:lang w:val="en-US"/>
        </w:rPr>
        <w:t>Report and Order</w:t>
      </w:r>
      <w:r w:rsidRPr="008478E9">
        <w:rPr>
          <w:rFonts w:ascii="Times New Roman" w:eastAsia="Times New Roman" w:hAnsi="Times New Roman" w:cs="Times New Roman"/>
          <w:i/>
          <w:sz w:val="24"/>
          <w:szCs w:val="24"/>
        </w:rPr>
        <w:t xml:space="preserve"> </w:t>
      </w:r>
      <w:r w:rsidRPr="008478E9">
        <w:rPr>
          <w:rFonts w:ascii="Times New Roman" w:eastAsia="Times New Roman" w:hAnsi="Times New Roman" w:cs="Times New Roman"/>
          <w:sz w:val="24"/>
          <w:szCs w:val="24"/>
        </w:rPr>
        <w:t>recognizes, high-p</w:t>
      </w:r>
      <w:r w:rsidR="006A51AF">
        <w:rPr>
          <w:rFonts w:ascii="Times New Roman" w:eastAsia="Times New Roman" w:hAnsi="Times New Roman" w:cs="Times New Roman"/>
          <w:sz w:val="24"/>
          <w:szCs w:val="24"/>
        </w:rPr>
        <w:t>ower point-to-point microwave links</w:t>
      </w:r>
      <w:r w:rsidRPr="008478E9">
        <w:rPr>
          <w:rFonts w:ascii="Times New Roman" w:eastAsia="Times New Roman" w:hAnsi="Times New Roman" w:cs="Times New Roman"/>
          <w:sz w:val="24"/>
          <w:szCs w:val="24"/>
        </w:rPr>
        <w:t xml:space="preserve"> have enormous excess margins to protect against interference from severe weather or from the deep atmospheric multipath fade that can occur during the eight-hour period after midnight.</w:t>
      </w:r>
      <w:r w:rsidRPr="008478E9">
        <w:rPr>
          <w:rFonts w:ascii="Times New Roman" w:eastAsia="Times New Roman" w:hAnsi="Times New Roman" w:cs="Times New Roman"/>
          <w:sz w:val="24"/>
          <w:szCs w:val="24"/>
          <w:vertAlign w:val="superscript"/>
        </w:rPr>
        <w:footnoteReference w:id="31"/>
      </w:r>
      <w:r w:rsidRPr="008478E9">
        <w:rPr>
          <w:rFonts w:ascii="Times New Roman" w:eastAsia="Times New Roman" w:hAnsi="Times New Roman" w:cs="Times New Roman"/>
          <w:sz w:val="24"/>
          <w:szCs w:val="24"/>
        </w:rPr>
        <w:t xml:space="preserve"> </w:t>
      </w:r>
      <w:r w:rsidR="006A51AF">
        <w:rPr>
          <w:rFonts w:ascii="Times New Roman" w:eastAsia="Times New Roman" w:hAnsi="Times New Roman" w:cs="Times New Roman"/>
          <w:sz w:val="24"/>
          <w:szCs w:val="24"/>
        </w:rPr>
        <w:t>Accordingly, the Commission concluded that “</w:t>
      </w:r>
      <w:r w:rsidR="006A51AF">
        <w:rPr>
          <w:rFonts w:ascii="Times New Roman" w:eastAsia="Times New Roman" w:hAnsi="Times New Roman" w:cs="Times New Roman"/>
          <w:sz w:val="24"/>
          <w:szCs w:val="24"/>
          <w:lang w:val="en-US"/>
        </w:rPr>
        <w:t>because the Wi-</w:t>
      </w:r>
      <w:r w:rsidR="006A51AF" w:rsidRPr="006A51AF">
        <w:rPr>
          <w:rFonts w:ascii="Times New Roman" w:eastAsia="Times New Roman" w:hAnsi="Times New Roman" w:cs="Times New Roman"/>
          <w:sz w:val="24"/>
          <w:szCs w:val="24"/>
          <w:lang w:val="en-US"/>
        </w:rPr>
        <w:t>Fi access point busy hour is not between the 8-hour period after midnight, we conclude that the likelihood</w:t>
      </w:r>
      <w:r w:rsidR="006A51AF">
        <w:rPr>
          <w:rFonts w:ascii="Times New Roman" w:eastAsia="Times New Roman" w:hAnsi="Times New Roman" w:cs="Times New Roman"/>
          <w:sz w:val="24"/>
          <w:szCs w:val="24"/>
          <w:lang w:val="en-US"/>
        </w:rPr>
        <w:t xml:space="preserve"> of harmful </w:t>
      </w:r>
      <w:r w:rsidR="006A51AF" w:rsidRPr="006A51AF">
        <w:rPr>
          <w:rFonts w:ascii="Times New Roman" w:eastAsia="Times New Roman" w:hAnsi="Times New Roman" w:cs="Times New Roman"/>
          <w:sz w:val="24"/>
          <w:szCs w:val="24"/>
          <w:lang w:val="en-US"/>
        </w:rPr>
        <w:t>interference to fixed service microwave links from indoor low power Wi-Fi access points is</w:t>
      </w:r>
    </w:p>
    <w:p w14:paraId="0C695C5E" w14:textId="08E82AFF" w:rsidR="008478E9" w:rsidRDefault="006A51AF" w:rsidP="006A51AF">
      <w:pPr>
        <w:spacing w:line="480" w:lineRule="auto"/>
        <w:contextualSpacing/>
        <w:rPr>
          <w:rFonts w:ascii="Times New Roman" w:eastAsia="Times New Roman" w:hAnsi="Times New Roman" w:cs="Times New Roman"/>
          <w:sz w:val="24"/>
          <w:szCs w:val="24"/>
        </w:rPr>
      </w:pPr>
      <w:r w:rsidRPr="006A51AF">
        <w:rPr>
          <w:rFonts w:ascii="Times New Roman" w:eastAsia="Times New Roman" w:hAnsi="Times New Roman" w:cs="Times New Roman"/>
          <w:sz w:val="24"/>
          <w:szCs w:val="24"/>
          <w:lang w:val="en-US"/>
        </w:rPr>
        <w:t>Insignificant</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32"/>
      </w:r>
      <w:r>
        <w:rPr>
          <w:rFonts w:ascii="Times New Roman" w:eastAsia="Times New Roman" w:hAnsi="Times New Roman" w:cs="Times New Roman"/>
          <w:sz w:val="24"/>
          <w:szCs w:val="24"/>
          <w:lang w:val="en-US"/>
        </w:rPr>
        <w:t xml:space="preserve"> </w:t>
      </w:r>
      <w:r w:rsidR="008478E9" w:rsidRPr="008478E9">
        <w:rPr>
          <w:rFonts w:ascii="Times New Roman" w:eastAsia="Times New Roman" w:hAnsi="Times New Roman" w:cs="Times New Roman"/>
          <w:sz w:val="24"/>
          <w:szCs w:val="24"/>
        </w:rPr>
        <w:t>The Commission</w:t>
      </w:r>
      <w:r>
        <w:rPr>
          <w:rFonts w:ascii="Times New Roman" w:eastAsia="Times New Roman" w:hAnsi="Times New Roman" w:cs="Times New Roman"/>
          <w:sz w:val="24"/>
          <w:szCs w:val="24"/>
        </w:rPr>
        <w:t>’s conclusion, based on the CableLabs study,</w:t>
      </w:r>
      <w:r w:rsidR="008478E9" w:rsidRPr="00847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remains correct:</w:t>
      </w:r>
      <w:r w:rsidR="008478E9" w:rsidRPr="008478E9">
        <w:rPr>
          <w:rFonts w:ascii="Times New Roman" w:eastAsia="Times New Roman" w:hAnsi="Times New Roman" w:cs="Times New Roman"/>
          <w:sz w:val="24"/>
          <w:szCs w:val="24"/>
        </w:rPr>
        <w:t xml:space="preserve"> indoor-only Wi-Fi, whether in homes, offices, schools or other establishments, are extremely unlikely to be operating at locations or times where even a line-of-sight transmission could overcome a microwave point-to-point link’s excess margin.</w:t>
      </w:r>
      <w:r w:rsidR="008478E9" w:rsidRPr="008478E9">
        <w:rPr>
          <w:rFonts w:ascii="Times New Roman" w:eastAsia="Times New Roman" w:hAnsi="Times New Roman" w:cs="Times New Roman"/>
          <w:sz w:val="24"/>
          <w:szCs w:val="24"/>
          <w:vertAlign w:val="superscript"/>
        </w:rPr>
        <w:footnoteReference w:id="33"/>
      </w:r>
      <w:r w:rsidR="008478E9" w:rsidRPr="008478E9">
        <w:rPr>
          <w:rFonts w:ascii="Times New Roman" w:eastAsia="Times New Roman" w:hAnsi="Times New Roman" w:cs="Times New Roman"/>
          <w:sz w:val="24"/>
          <w:szCs w:val="24"/>
        </w:rPr>
        <w:t xml:space="preserve"> </w:t>
      </w:r>
    </w:p>
    <w:p w14:paraId="5DD08787" w14:textId="51901AEB" w:rsidR="00450125" w:rsidRPr="00450125" w:rsidRDefault="00450125" w:rsidP="00450125">
      <w:pPr>
        <w:spacing w:line="480" w:lineRule="auto"/>
        <w:ind w:firstLine="720"/>
        <w:contextualSpacing/>
        <w:rPr>
          <w:rFonts w:ascii="Times New Roman" w:eastAsia="Times New Roman" w:hAnsi="Times New Roman" w:cs="Times New Roman"/>
          <w:sz w:val="24"/>
          <w:szCs w:val="24"/>
        </w:rPr>
      </w:pPr>
      <w:r w:rsidRPr="00450125">
        <w:rPr>
          <w:rFonts w:ascii="Times New Roman" w:eastAsia="Times New Roman" w:hAnsi="Times New Roman" w:cs="Times New Roman"/>
          <w:sz w:val="24"/>
          <w:szCs w:val="24"/>
        </w:rPr>
        <w:t>Fixed Service microwave links are designed with excess link margin to protect against interference that far exceeds any plausible impact that an indoor, low-power device operating at 8 dBm/MHz radiated PSD could possibly generate. Fixed link fade margins typically exceed 40 dB.</w:t>
      </w:r>
      <w:r w:rsidRPr="00450125">
        <w:rPr>
          <w:rFonts w:ascii="Times New Roman" w:eastAsia="Times New Roman" w:hAnsi="Times New Roman" w:cs="Times New Roman"/>
          <w:sz w:val="24"/>
          <w:szCs w:val="24"/>
          <w:vertAlign w:val="superscript"/>
        </w:rPr>
        <w:footnoteReference w:id="34"/>
      </w:r>
      <w:r w:rsidRPr="00450125">
        <w:rPr>
          <w:rFonts w:ascii="Times New Roman" w:eastAsia="Times New Roman" w:hAnsi="Times New Roman" w:cs="Times New Roman"/>
          <w:sz w:val="24"/>
          <w:szCs w:val="24"/>
        </w:rPr>
        <w:t xml:space="preserve">  Thus, even in the corner cases posed by incumbent fixed link operators (e.g., a LPI router </w:t>
      </w:r>
      <w:r w:rsidRPr="00450125">
        <w:rPr>
          <w:rFonts w:ascii="Times New Roman" w:eastAsia="Times New Roman" w:hAnsi="Times New Roman" w:cs="Times New Roman"/>
          <w:sz w:val="24"/>
          <w:szCs w:val="24"/>
        </w:rPr>
        <w:lastRenderedPageBreak/>
        <w:t>in an open window very close to a link’s main beam or receiver), “that interference is exceedingly unlikely to constitute harmful interference due to the available link margin.”</w:t>
      </w:r>
      <w:r w:rsidRPr="00450125">
        <w:rPr>
          <w:rFonts w:ascii="Times New Roman" w:eastAsia="Times New Roman" w:hAnsi="Times New Roman" w:cs="Times New Roman"/>
          <w:sz w:val="24"/>
          <w:szCs w:val="24"/>
          <w:vertAlign w:val="superscript"/>
        </w:rPr>
        <w:footnoteReference w:id="35"/>
      </w:r>
      <w:r w:rsidRPr="00450125">
        <w:rPr>
          <w:rFonts w:ascii="Times New Roman" w:eastAsia="Times New Roman" w:hAnsi="Times New Roman" w:cs="Times New Roman"/>
          <w:sz w:val="24"/>
          <w:szCs w:val="24"/>
        </w:rPr>
        <w:t xml:space="preserve"> Even an unrealistically high assumption of a 10 or 20 dB increase in the noise from a LPI device directly to a fixed link receiver would not increase FS outage time, according to a coexistence study filed by CableLabs using real-world Wi-Fi utilization data from 500,000 access points.</w:t>
      </w:r>
      <w:r w:rsidRPr="00450125">
        <w:rPr>
          <w:rFonts w:ascii="Times New Roman" w:eastAsia="Times New Roman" w:hAnsi="Times New Roman" w:cs="Times New Roman"/>
          <w:sz w:val="24"/>
          <w:szCs w:val="24"/>
          <w:vertAlign w:val="superscript"/>
        </w:rPr>
        <w:footnoteReference w:id="36"/>
      </w:r>
      <w:r w:rsidRPr="00450125">
        <w:rPr>
          <w:rFonts w:ascii="Times New Roman" w:eastAsia="Times New Roman" w:hAnsi="Times New Roman" w:cs="Times New Roman"/>
          <w:sz w:val="24"/>
          <w:szCs w:val="24"/>
        </w:rPr>
        <w:t xml:space="preserve">  If FS operators need absolute certainty at the level of “five nines” at all times, they should move to a flexible use band and pay for that level of exclusive use. </w:t>
      </w:r>
    </w:p>
    <w:p w14:paraId="58BDF21E" w14:textId="34C2AD23" w:rsidR="00C80AC9" w:rsidRDefault="00DC59B0" w:rsidP="002C7067">
      <w:pPr>
        <w:spacing w:line="480" w:lineRule="auto"/>
        <w:ind w:firstLine="720"/>
        <w:contextualSpacing/>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szCs w:val="24"/>
          <w:lang w:val="en-US"/>
        </w:rPr>
        <w:t xml:space="preserve">At </w:t>
      </w:r>
      <w:r w:rsidR="00C80AC9" w:rsidRPr="009E1EA1">
        <w:rPr>
          <w:rFonts w:ascii="Times New Roman" w:eastAsia="Times New Roman" w:hAnsi="Times New Roman" w:cs="Times New Roman"/>
          <w:color w:val="000000"/>
          <w:sz w:val="24"/>
          <w:szCs w:val="24"/>
          <w:lang w:val="en-US"/>
        </w:rPr>
        <w:t>5 dBm/MHz or</w:t>
      </w:r>
      <w:r w:rsidR="00C80AC9">
        <w:rPr>
          <w:rFonts w:ascii="Times New Roman" w:eastAsia="Times New Roman" w:hAnsi="Times New Roman" w:cs="Times New Roman"/>
          <w:color w:val="000000"/>
          <w:sz w:val="24"/>
          <w:lang w:val="en-US"/>
        </w:rPr>
        <w:t xml:space="preserve"> at 8 dBm/MHz, h</w:t>
      </w:r>
      <w:r w:rsidR="00C80AC9" w:rsidRPr="00C80AC9">
        <w:rPr>
          <w:rFonts w:ascii="Times New Roman" w:eastAsia="Times New Roman" w:hAnsi="Times New Roman" w:cs="Times New Roman"/>
          <w:color w:val="000000"/>
          <w:sz w:val="24"/>
          <w:lang w:val="en-US"/>
        </w:rPr>
        <w:t xml:space="preserve">armful interference from </w:t>
      </w:r>
      <w:r w:rsidR="00C17B29">
        <w:rPr>
          <w:rFonts w:ascii="Times New Roman" w:eastAsia="Times New Roman" w:hAnsi="Times New Roman" w:cs="Times New Roman"/>
          <w:color w:val="000000"/>
          <w:sz w:val="24"/>
          <w:lang w:val="en-US"/>
        </w:rPr>
        <w:t xml:space="preserve">the indoor operation of </w:t>
      </w:r>
      <w:r w:rsidR="00C80AC9" w:rsidRPr="00C80AC9">
        <w:rPr>
          <w:rFonts w:ascii="Times New Roman" w:eastAsia="Times New Roman" w:hAnsi="Times New Roman" w:cs="Times New Roman"/>
          <w:color w:val="000000"/>
          <w:sz w:val="24"/>
          <w:lang w:val="en-US"/>
        </w:rPr>
        <w:t xml:space="preserve">RLANs into FS receivers would be extremely rare </w:t>
      </w:r>
      <w:r w:rsidR="00C36329">
        <w:rPr>
          <w:rFonts w:ascii="Times New Roman" w:eastAsia="Times New Roman" w:hAnsi="Times New Roman" w:cs="Times New Roman"/>
          <w:color w:val="000000"/>
          <w:sz w:val="24"/>
          <w:lang w:val="en-US"/>
        </w:rPr>
        <w:t>with or</w:t>
      </w:r>
      <w:r w:rsidR="00C80AC9" w:rsidRPr="00C80AC9">
        <w:rPr>
          <w:rFonts w:ascii="Times New Roman" w:eastAsia="Times New Roman" w:hAnsi="Times New Roman" w:cs="Times New Roman"/>
          <w:color w:val="000000"/>
          <w:sz w:val="24"/>
          <w:lang w:val="en-US"/>
        </w:rPr>
        <w:t xml:space="preserve"> without fre</w:t>
      </w:r>
      <w:r w:rsidR="00C36329">
        <w:rPr>
          <w:rFonts w:ascii="Times New Roman" w:eastAsia="Times New Roman" w:hAnsi="Times New Roman" w:cs="Times New Roman"/>
          <w:color w:val="000000"/>
          <w:sz w:val="24"/>
          <w:lang w:val="en-US"/>
        </w:rPr>
        <w:t xml:space="preserve">quency coordination by an AFC. </w:t>
      </w:r>
      <w:r w:rsidR="00C80AC9" w:rsidRPr="00C80AC9">
        <w:rPr>
          <w:rFonts w:ascii="Times New Roman" w:eastAsia="Times New Roman" w:hAnsi="Times New Roman" w:cs="Times New Roman"/>
          <w:color w:val="000000"/>
          <w:sz w:val="24"/>
          <w:lang w:val="en-US"/>
        </w:rPr>
        <w:t>The two operate in entirely different locations and with transmit characteristics that are complementary.  One is indoor-only, and the other is outdoor-only. FS fixed links are very high-power and directional, while indoor RLANs are very low power. FS fixed links are tower- or rooftop-mounted, while unlicensed devices typically operate at or near ground level.  FS links transmit continuously at high power, while RLAN devices operate at very low duty cycles with low EIRP.</w:t>
      </w:r>
      <w:r w:rsidR="00C80AC9">
        <w:rPr>
          <w:rStyle w:val="FootnoteReference"/>
          <w:rFonts w:ascii="Times New Roman" w:eastAsia="Times New Roman" w:hAnsi="Times New Roman" w:cs="Times New Roman"/>
          <w:color w:val="000000"/>
          <w:sz w:val="24"/>
          <w:lang w:val="en-US"/>
        </w:rPr>
        <w:footnoteReference w:id="37"/>
      </w:r>
      <w:r w:rsidR="00C80AC9" w:rsidRPr="00C80AC9">
        <w:rPr>
          <w:rFonts w:ascii="Times New Roman" w:eastAsia="Times New Roman" w:hAnsi="Times New Roman" w:cs="Times New Roman"/>
          <w:color w:val="000000"/>
          <w:sz w:val="24"/>
          <w:lang w:val="en-US"/>
        </w:rPr>
        <w:t xml:space="preserve">   </w:t>
      </w:r>
    </w:p>
    <w:p w14:paraId="3A014711" w14:textId="721014E4" w:rsidR="00C80AC9" w:rsidRDefault="00C80AC9" w:rsidP="00C80AC9">
      <w:pPr>
        <w:spacing w:line="480" w:lineRule="auto"/>
        <w:ind w:firstLine="720"/>
        <w:contextualSpacing/>
        <w:rPr>
          <w:rFonts w:ascii="Times New Roman" w:eastAsia="Times New Roman" w:hAnsi="Times New Roman" w:cs="Times New Roman"/>
          <w:sz w:val="24"/>
          <w:szCs w:val="24"/>
          <w:lang w:val="en-US"/>
        </w:rPr>
      </w:pPr>
      <w:r w:rsidRPr="00C80AC9">
        <w:rPr>
          <w:rFonts w:ascii="Times New Roman" w:eastAsia="Times New Roman" w:hAnsi="Times New Roman" w:cs="Times New Roman"/>
          <w:sz w:val="24"/>
          <w:szCs w:val="24"/>
          <w:lang w:val="en-US"/>
        </w:rPr>
        <w:lastRenderedPageBreak/>
        <w:t>Unlike outdoor or enterprise Wi-Fi deployments, low-power indoor-only Wi-Fi routers would operate entirely within a home or business, where building materials significantly attenuate the already low-power signal and minimize any potential interference.</w:t>
      </w:r>
      <w:r>
        <w:rPr>
          <w:rStyle w:val="FootnoteReference"/>
          <w:rFonts w:ascii="Times New Roman" w:eastAsia="Times New Roman" w:hAnsi="Times New Roman" w:cs="Times New Roman"/>
          <w:sz w:val="24"/>
          <w:szCs w:val="24"/>
          <w:lang w:val="en-US"/>
        </w:rPr>
        <w:footnoteReference w:id="38"/>
      </w:r>
      <w:r>
        <w:rPr>
          <w:rFonts w:ascii="Times New Roman" w:eastAsia="Times New Roman" w:hAnsi="Times New Roman" w:cs="Times New Roman"/>
          <w:sz w:val="24"/>
          <w:szCs w:val="24"/>
          <w:lang w:val="en-US"/>
        </w:rPr>
        <w:t xml:space="preserve"> </w:t>
      </w:r>
      <w:r w:rsidRPr="00C80AC9">
        <w:rPr>
          <w:rFonts w:ascii="Times New Roman" w:eastAsia="Times New Roman" w:hAnsi="Times New Roman" w:cs="Times New Roman"/>
          <w:sz w:val="24"/>
          <w:szCs w:val="24"/>
          <w:lang w:val="en-US"/>
        </w:rPr>
        <w:t xml:space="preserve">Routers are almost always on the floor, or mounted high in a corner; rarely would they be positioned in front of a window. And to the extent a RLAN may be on a high floor overlooking a lower rooftop with a FS link, windows in new and renovated buildings are increasingly coated for environmental reasons that also mitigate any signal leakage outdoors.  </w:t>
      </w:r>
    </w:p>
    <w:p w14:paraId="26DCC54F" w14:textId="10B426B8" w:rsidR="00C80AC9" w:rsidRPr="00C80AC9" w:rsidRDefault="00C80AC9" w:rsidP="00C80AC9">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Moreover, it should be no surprise that the CableLabs study found no greater risk of harmful interference at the modestly higher power level of 8 dBm/MHz. T</w:t>
      </w:r>
      <w:r w:rsidRPr="00C80AC9">
        <w:rPr>
          <w:rFonts w:ascii="Times New Roman" w:eastAsia="Times New Roman" w:hAnsi="Times New Roman" w:cs="Times New Roman"/>
          <w:sz w:val="24"/>
          <w:szCs w:val="24"/>
          <w:lang w:val="en-US"/>
        </w:rPr>
        <w:t>he record demonstrates that FS links are high power and use high-quality</w:t>
      </w:r>
      <w:r>
        <w:rPr>
          <w:rFonts w:ascii="Times New Roman" w:eastAsia="Times New Roman" w:hAnsi="Times New Roman" w:cs="Times New Roman"/>
          <w:sz w:val="24"/>
          <w:szCs w:val="24"/>
          <w:lang w:val="en-US"/>
        </w:rPr>
        <w:t xml:space="preserve">, highly-directional antennas. </w:t>
      </w:r>
      <w:r w:rsidRPr="00C80AC9">
        <w:rPr>
          <w:rFonts w:ascii="Times New Roman" w:eastAsia="Times New Roman" w:hAnsi="Times New Roman" w:cs="Times New Roman"/>
          <w:sz w:val="24"/>
          <w:szCs w:val="24"/>
          <w:lang w:val="en-US"/>
        </w:rPr>
        <w:t>Even standard-quality FS antennas would protect outdoor fixed links from RLAN signals only two degrees off the antenna‘s axis, while the sort of high-performance FS antennas typical in urban or other congested areas – where an indoor Wi-Fi router or RLAN device on an upper floor would most likely occur – are far more protective.</w:t>
      </w:r>
      <w:r>
        <w:rPr>
          <w:rStyle w:val="FootnoteReference"/>
          <w:rFonts w:ascii="Times New Roman" w:eastAsia="Times New Roman" w:hAnsi="Times New Roman" w:cs="Times New Roman"/>
          <w:sz w:val="24"/>
          <w:szCs w:val="24"/>
          <w:lang w:val="en-US"/>
        </w:rPr>
        <w:footnoteReference w:id="39"/>
      </w:r>
      <w:r w:rsidRPr="00C80AC9">
        <w:rPr>
          <w:rFonts w:ascii="Times New Roman" w:eastAsia="Times New Roman" w:hAnsi="Times New Roman" w:cs="Times New Roman"/>
          <w:sz w:val="24"/>
          <w:szCs w:val="24"/>
          <w:lang w:val="en-US"/>
        </w:rPr>
        <w:t xml:space="preserve">  Sharing between two fixed services will never be absolutely risk-free, but it‘s hard to imagine two operations that could coexist with a higher comfort level than high-power, outdoor FS and very low power, indoor-only RLAN devices. Wi-Fi and other unlicensed devices also operate at very low duty cycles with low EIRP, as the high-tech industry coalition study documented, with the result that even the rare cases of leakage to a close-by FS receiver would cause interference in very brief and infrequent bursts.</w:t>
      </w:r>
      <w:r w:rsidRPr="00C80AC9">
        <w:rPr>
          <w:rFonts w:ascii="Times New Roman" w:eastAsia="Times New Roman" w:hAnsi="Times New Roman" w:cs="Times New Roman"/>
          <w:sz w:val="24"/>
          <w:szCs w:val="24"/>
          <w:vertAlign w:val="superscript"/>
          <w:lang w:val="en-US"/>
        </w:rPr>
        <w:t>46</w:t>
      </w:r>
      <w:r w:rsidRPr="00C80AC9">
        <w:rPr>
          <w:rFonts w:ascii="Times New Roman" w:eastAsia="Times New Roman" w:hAnsi="Times New Roman" w:cs="Times New Roman"/>
          <w:sz w:val="24"/>
          <w:szCs w:val="24"/>
          <w:lang w:val="en-US"/>
        </w:rPr>
        <w:t xml:space="preserve">   </w:t>
      </w:r>
    </w:p>
    <w:p w14:paraId="12048B0F" w14:textId="0C34DBDC" w:rsidR="007E39CE" w:rsidRPr="00E44341" w:rsidRDefault="00C80AC9" w:rsidP="00E44341">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The Commission must also consider the fact that </w:t>
      </w:r>
      <w:r w:rsidR="007E5EB5">
        <w:rPr>
          <w:rFonts w:ascii="Times New Roman" w:eastAsia="Times New Roman" w:hAnsi="Times New Roman" w:cs="Times New Roman"/>
          <w:sz w:val="24"/>
          <w:szCs w:val="24"/>
          <w:lang w:val="en-US"/>
        </w:rPr>
        <w:t xml:space="preserve">encouraging </w:t>
      </w:r>
      <w:r w:rsidRPr="00C80AC9">
        <w:rPr>
          <w:rFonts w:ascii="Times New Roman" w:eastAsia="Times New Roman" w:hAnsi="Times New Roman" w:cs="Times New Roman"/>
          <w:sz w:val="24"/>
          <w:szCs w:val="24"/>
          <w:lang w:val="en-US"/>
        </w:rPr>
        <w:t>Wi-Fi</w:t>
      </w:r>
      <w:r w:rsidR="007E5EB5">
        <w:rPr>
          <w:rFonts w:ascii="Times New Roman" w:eastAsia="Times New Roman" w:hAnsi="Times New Roman" w:cs="Times New Roman"/>
          <w:sz w:val="24"/>
          <w:szCs w:val="24"/>
          <w:lang w:val="en-US"/>
        </w:rPr>
        <w:t xml:space="preserve"> 6</w:t>
      </w:r>
      <w:r w:rsidRPr="00C80AC9">
        <w:rPr>
          <w:rFonts w:ascii="Times New Roman" w:eastAsia="Times New Roman" w:hAnsi="Times New Roman" w:cs="Times New Roman"/>
          <w:sz w:val="24"/>
          <w:szCs w:val="24"/>
          <w:lang w:val="en-US"/>
        </w:rPr>
        <w:t xml:space="preserve"> and other unlicensed traffic </w:t>
      </w:r>
      <w:r w:rsidR="007E5EB5">
        <w:rPr>
          <w:rFonts w:ascii="Times New Roman" w:eastAsia="Times New Roman" w:hAnsi="Times New Roman" w:cs="Times New Roman"/>
          <w:sz w:val="24"/>
          <w:szCs w:val="24"/>
          <w:lang w:val="en-US"/>
        </w:rPr>
        <w:t xml:space="preserve">to operate indoors at 8 dBm/MHz PSD </w:t>
      </w:r>
      <w:r w:rsidRPr="00C80AC9">
        <w:rPr>
          <w:rFonts w:ascii="Times New Roman" w:eastAsia="Times New Roman" w:hAnsi="Times New Roman" w:cs="Times New Roman"/>
          <w:sz w:val="24"/>
          <w:szCs w:val="24"/>
          <w:lang w:val="en-US"/>
        </w:rPr>
        <w:t xml:space="preserve">could </w:t>
      </w:r>
      <w:r w:rsidRPr="007E5EB5">
        <w:rPr>
          <w:rFonts w:ascii="Times New Roman" w:eastAsia="Times New Roman" w:hAnsi="Times New Roman" w:cs="Times New Roman"/>
          <w:i/>
          <w:sz w:val="24"/>
          <w:szCs w:val="24"/>
          <w:lang w:val="en-US"/>
        </w:rPr>
        <w:t>reduce</w:t>
      </w:r>
      <w:r w:rsidRPr="00C80AC9">
        <w:rPr>
          <w:rFonts w:ascii="Times New Roman" w:eastAsia="Times New Roman" w:hAnsi="Times New Roman" w:cs="Times New Roman"/>
          <w:sz w:val="24"/>
          <w:szCs w:val="24"/>
          <w:lang w:val="en-US"/>
        </w:rPr>
        <w:t xml:space="preserve"> the overall risk of </w:t>
      </w:r>
      <w:r w:rsidR="007E5EB5">
        <w:rPr>
          <w:rFonts w:ascii="Times New Roman" w:eastAsia="Times New Roman" w:hAnsi="Times New Roman" w:cs="Times New Roman"/>
          <w:sz w:val="24"/>
          <w:szCs w:val="24"/>
          <w:lang w:val="en-US"/>
        </w:rPr>
        <w:t xml:space="preserve">harmful </w:t>
      </w:r>
      <w:r w:rsidRPr="00C80AC9">
        <w:rPr>
          <w:rFonts w:ascii="Times New Roman" w:eastAsia="Times New Roman" w:hAnsi="Times New Roman" w:cs="Times New Roman"/>
          <w:sz w:val="24"/>
          <w:szCs w:val="24"/>
          <w:lang w:val="en-US"/>
        </w:rPr>
        <w:t>interference</w:t>
      </w:r>
      <w:r w:rsidR="007E5EB5">
        <w:rPr>
          <w:rFonts w:ascii="Times New Roman" w:eastAsia="Times New Roman" w:hAnsi="Times New Roman" w:cs="Times New Roman"/>
          <w:sz w:val="24"/>
          <w:szCs w:val="24"/>
          <w:lang w:val="en-US"/>
        </w:rPr>
        <w:t xml:space="preserve"> to FS incumbents.  </w:t>
      </w:r>
      <w:r w:rsidRPr="00C80AC9">
        <w:rPr>
          <w:rFonts w:ascii="Times New Roman" w:eastAsia="Times New Roman" w:hAnsi="Times New Roman" w:cs="Times New Roman"/>
          <w:sz w:val="24"/>
          <w:szCs w:val="24"/>
          <w:lang w:val="en-US"/>
        </w:rPr>
        <w:t xml:space="preserve">If 1,200 megahertz is available at </w:t>
      </w:r>
      <w:r w:rsidR="007E5EB5">
        <w:rPr>
          <w:rFonts w:ascii="Times New Roman" w:eastAsia="Times New Roman" w:hAnsi="Times New Roman" w:cs="Times New Roman"/>
          <w:sz w:val="24"/>
          <w:szCs w:val="24"/>
          <w:lang w:val="en-US"/>
        </w:rPr>
        <w:t xml:space="preserve">a </w:t>
      </w:r>
      <w:r w:rsidRPr="00C80AC9">
        <w:rPr>
          <w:rFonts w:ascii="Times New Roman" w:eastAsia="Times New Roman" w:hAnsi="Times New Roman" w:cs="Times New Roman"/>
          <w:sz w:val="24"/>
          <w:szCs w:val="24"/>
          <w:lang w:val="en-US"/>
        </w:rPr>
        <w:t xml:space="preserve">low </w:t>
      </w:r>
      <w:r w:rsidR="007E5EB5">
        <w:rPr>
          <w:rFonts w:ascii="Times New Roman" w:eastAsia="Times New Roman" w:hAnsi="Times New Roman" w:cs="Times New Roman"/>
          <w:sz w:val="24"/>
          <w:szCs w:val="24"/>
          <w:lang w:val="en-US"/>
        </w:rPr>
        <w:t xml:space="preserve">but adequate </w:t>
      </w:r>
      <w:r w:rsidRPr="00C80AC9">
        <w:rPr>
          <w:rFonts w:ascii="Times New Roman" w:eastAsia="Times New Roman" w:hAnsi="Times New Roman" w:cs="Times New Roman"/>
          <w:sz w:val="24"/>
          <w:szCs w:val="24"/>
          <w:lang w:val="en-US"/>
        </w:rPr>
        <w:t xml:space="preserve">power indoors and without an AFC </w:t>
      </w:r>
      <w:r w:rsidRPr="007E5EB5">
        <w:rPr>
          <w:rFonts w:ascii="Times New Roman" w:eastAsia="Times New Roman" w:hAnsi="Times New Roman" w:cs="Times New Roman"/>
          <w:sz w:val="24"/>
          <w:szCs w:val="24"/>
          <w:lang w:val="en-US"/>
        </w:rPr>
        <w:t xml:space="preserve">requirement, much of the unlicensed traffic that might have been at </w:t>
      </w:r>
      <w:r w:rsidR="007E5EB5" w:rsidRPr="007E5EB5">
        <w:rPr>
          <w:rFonts w:ascii="Times New Roman" w:eastAsia="Times New Roman" w:hAnsi="Times New Roman" w:cs="Times New Roman"/>
          <w:sz w:val="24"/>
          <w:szCs w:val="24"/>
          <w:lang w:val="en-US"/>
        </w:rPr>
        <w:t>standard</w:t>
      </w:r>
      <w:r w:rsidRPr="007E5EB5">
        <w:rPr>
          <w:rFonts w:ascii="Times New Roman" w:eastAsia="Times New Roman" w:hAnsi="Times New Roman" w:cs="Times New Roman"/>
          <w:sz w:val="24"/>
          <w:szCs w:val="24"/>
          <w:lang w:val="en-US"/>
        </w:rPr>
        <w:t xml:space="preserve"> power (and higher cost) will instead rely on </w:t>
      </w:r>
      <w:r w:rsidR="007E5EB5" w:rsidRPr="007E5EB5">
        <w:rPr>
          <w:rFonts w:ascii="Times New Roman" w:eastAsia="Times New Roman" w:hAnsi="Times New Roman" w:cs="Times New Roman"/>
          <w:sz w:val="24"/>
          <w:szCs w:val="24"/>
          <w:lang w:val="en-US"/>
        </w:rPr>
        <w:t xml:space="preserve">a </w:t>
      </w:r>
      <w:r w:rsidRPr="007E5EB5">
        <w:rPr>
          <w:rFonts w:ascii="Times New Roman" w:eastAsia="Times New Roman" w:hAnsi="Times New Roman" w:cs="Times New Roman"/>
          <w:sz w:val="24"/>
          <w:szCs w:val="24"/>
          <w:lang w:val="en-US"/>
        </w:rPr>
        <w:t>low-power, indoor-only RLAN. The Commission should not want to force homes and businesses to operate at</w:t>
      </w:r>
      <w:r w:rsidR="007E5EB5">
        <w:rPr>
          <w:rFonts w:ascii="Times New Roman" w:eastAsia="Times New Roman" w:hAnsi="Times New Roman" w:cs="Times New Roman"/>
          <w:sz w:val="24"/>
          <w:szCs w:val="24"/>
          <w:lang w:val="en-US"/>
        </w:rPr>
        <w:t xml:space="preserve"> a much</w:t>
      </w:r>
      <w:r w:rsidRPr="007E5EB5">
        <w:rPr>
          <w:rFonts w:ascii="Times New Roman" w:eastAsia="Times New Roman" w:hAnsi="Times New Roman" w:cs="Times New Roman"/>
          <w:sz w:val="24"/>
          <w:szCs w:val="24"/>
          <w:lang w:val="en-US"/>
        </w:rPr>
        <w:t xml:space="preserve"> higher </w:t>
      </w:r>
      <w:r w:rsidR="007E5EB5">
        <w:rPr>
          <w:rFonts w:ascii="Times New Roman" w:eastAsia="Times New Roman" w:hAnsi="Times New Roman" w:cs="Times New Roman"/>
          <w:sz w:val="24"/>
          <w:szCs w:val="24"/>
          <w:lang w:val="en-US"/>
        </w:rPr>
        <w:t xml:space="preserve">standard </w:t>
      </w:r>
      <w:r w:rsidRPr="007E5EB5">
        <w:rPr>
          <w:rFonts w:ascii="Times New Roman" w:eastAsia="Times New Roman" w:hAnsi="Times New Roman" w:cs="Times New Roman"/>
          <w:sz w:val="24"/>
          <w:szCs w:val="24"/>
          <w:lang w:val="en-US"/>
        </w:rPr>
        <w:t>power</w:t>
      </w:r>
      <w:r w:rsidR="007E5EB5" w:rsidRPr="007E5EB5">
        <w:rPr>
          <w:rFonts w:ascii="Times New Roman" w:eastAsia="Times New Roman" w:hAnsi="Times New Roman" w:cs="Times New Roman"/>
          <w:sz w:val="24"/>
          <w:szCs w:val="24"/>
          <w:lang w:val="en-US"/>
        </w:rPr>
        <w:t xml:space="preserve"> because LPI at 5 dBm/MHz PSD is inadequate or more costly than operating at standard power under AFC control. </w:t>
      </w:r>
      <w:r w:rsidRPr="007E5EB5">
        <w:rPr>
          <w:rFonts w:ascii="Times New Roman" w:eastAsia="Times New Roman" w:hAnsi="Times New Roman" w:cs="Times New Roman"/>
          <w:sz w:val="24"/>
          <w:szCs w:val="24"/>
          <w:lang w:val="en-US"/>
        </w:rPr>
        <w:t xml:space="preserve"> </w:t>
      </w:r>
      <w:r w:rsidR="007E5EB5" w:rsidRPr="007E5EB5">
        <w:rPr>
          <w:rFonts w:ascii="Times New Roman" w:eastAsia="Times New Roman" w:hAnsi="Times New Roman" w:cs="Times New Roman"/>
          <w:sz w:val="24"/>
          <w:szCs w:val="24"/>
          <w:lang w:val="en-US"/>
        </w:rPr>
        <w:t>B</w:t>
      </w:r>
      <w:r w:rsidR="007E5EB5" w:rsidRPr="007E5EB5">
        <w:rPr>
          <w:rFonts w:ascii="Times New Roman" w:hAnsi="Times New Roman" w:cs="Times New Roman"/>
          <w:sz w:val="24"/>
          <w:szCs w:val="24"/>
        </w:rPr>
        <w:t>y making 1,200 contiguous megahertz of 6 GHz spectrum available inside every building, unlicensed routers and other devices will spread their transmissions over multiple and much wider channels, which substantially lowers the power spectral density (PSD) and therefore the risk of interference on the small slice of frequencies in use by a nearby high-power fixed microwave link.</w:t>
      </w:r>
      <w:r w:rsidR="007E5EB5">
        <w:t xml:space="preserve">  </w:t>
      </w:r>
    </w:p>
    <w:p w14:paraId="73557B8F" w14:textId="43ADAE17" w:rsidR="002C7067" w:rsidRPr="007776AD" w:rsidRDefault="002F65CF" w:rsidP="0029785C">
      <w:pPr>
        <w:pStyle w:val="Heading1"/>
        <w:numPr>
          <w:ilvl w:val="0"/>
          <w:numId w:val="4"/>
        </w:numPr>
        <w:rPr>
          <w:rFonts w:ascii="Times New Roman" w:hAnsi="Times New Roman" w:cs="Times New Roman"/>
          <w:b/>
          <w:sz w:val="24"/>
          <w:szCs w:val="24"/>
        </w:rPr>
      </w:pPr>
      <w:bookmarkStart w:id="3" w:name="_Toc44320729"/>
      <w:r w:rsidRPr="007776AD">
        <w:rPr>
          <w:rFonts w:ascii="Times New Roman" w:hAnsi="Times New Roman" w:cs="Times New Roman"/>
          <w:b/>
          <w:sz w:val="24"/>
          <w:szCs w:val="24"/>
        </w:rPr>
        <w:t xml:space="preserve">The Commission Should Authorize </w:t>
      </w:r>
      <w:r w:rsidR="001C64FF" w:rsidRPr="007776AD">
        <w:rPr>
          <w:rFonts w:ascii="Times New Roman" w:hAnsi="Times New Roman" w:cs="Times New Roman"/>
          <w:b/>
          <w:sz w:val="24"/>
          <w:szCs w:val="24"/>
        </w:rPr>
        <w:t xml:space="preserve">Higher Power </w:t>
      </w:r>
      <w:r w:rsidR="00CB742A" w:rsidRPr="007776AD">
        <w:rPr>
          <w:rFonts w:ascii="Times New Roman" w:hAnsi="Times New Roman" w:cs="Times New Roman"/>
          <w:b/>
          <w:sz w:val="24"/>
          <w:szCs w:val="24"/>
        </w:rPr>
        <w:t xml:space="preserve">Limits and </w:t>
      </w:r>
      <w:r w:rsidRPr="007776AD">
        <w:rPr>
          <w:rFonts w:ascii="Times New Roman" w:hAnsi="Times New Roman" w:cs="Times New Roman"/>
          <w:b/>
          <w:sz w:val="24"/>
          <w:szCs w:val="24"/>
        </w:rPr>
        <w:t>Antenna Directi</w:t>
      </w:r>
      <w:r w:rsidR="00CB742A" w:rsidRPr="007776AD">
        <w:rPr>
          <w:rFonts w:ascii="Times New Roman" w:hAnsi="Times New Roman" w:cs="Times New Roman"/>
          <w:b/>
          <w:sz w:val="24"/>
          <w:szCs w:val="24"/>
        </w:rPr>
        <w:t>vity</w:t>
      </w:r>
      <w:r w:rsidRPr="007776AD">
        <w:rPr>
          <w:rFonts w:ascii="Times New Roman" w:hAnsi="Times New Roman" w:cs="Times New Roman"/>
          <w:b/>
          <w:sz w:val="24"/>
          <w:szCs w:val="24"/>
        </w:rPr>
        <w:t xml:space="preserve"> </w:t>
      </w:r>
      <w:r w:rsidR="00DD13E3" w:rsidRPr="007776AD">
        <w:rPr>
          <w:rFonts w:ascii="Times New Roman" w:hAnsi="Times New Roman" w:cs="Times New Roman"/>
          <w:b/>
          <w:sz w:val="24"/>
          <w:szCs w:val="24"/>
        </w:rPr>
        <w:t xml:space="preserve">for </w:t>
      </w:r>
      <w:r w:rsidRPr="007776AD">
        <w:rPr>
          <w:rFonts w:ascii="Times New Roman" w:hAnsi="Times New Roman" w:cs="Times New Roman"/>
          <w:b/>
          <w:sz w:val="24"/>
          <w:szCs w:val="24"/>
        </w:rPr>
        <w:t xml:space="preserve">Both Point-to-Point and Point-to-Multipoint Fixed </w:t>
      </w:r>
      <w:r w:rsidR="001C64FF" w:rsidRPr="007776AD">
        <w:rPr>
          <w:rFonts w:ascii="Times New Roman" w:hAnsi="Times New Roman" w:cs="Times New Roman"/>
          <w:b/>
          <w:sz w:val="24"/>
          <w:szCs w:val="24"/>
        </w:rPr>
        <w:t>Operations in the U-NII-5 and U-NII-7 Bands</w:t>
      </w:r>
      <w:bookmarkEnd w:id="3"/>
    </w:p>
    <w:p w14:paraId="119630F2" w14:textId="77777777" w:rsidR="002F65CF" w:rsidRDefault="002F65CF" w:rsidP="002F65CF">
      <w:pPr>
        <w:pStyle w:val="ListParagraph"/>
        <w:spacing w:line="264" w:lineRule="auto"/>
        <w:rPr>
          <w:rFonts w:ascii="Times New Roman" w:eastAsia="Times New Roman" w:hAnsi="Times New Roman" w:cs="Times New Roman"/>
          <w:b/>
          <w:sz w:val="24"/>
          <w:szCs w:val="24"/>
        </w:rPr>
      </w:pPr>
    </w:p>
    <w:p w14:paraId="4FC903F5" w14:textId="78512E64" w:rsidR="006D7B7A" w:rsidRPr="006D7B7A" w:rsidRDefault="006D7B7A" w:rsidP="006C1A5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FNPRM</w:t>
      </w:r>
      <w:r>
        <w:rPr>
          <w:rFonts w:ascii="Times New Roman" w:eastAsia="Times New Roman" w:hAnsi="Times New Roman" w:cs="Times New Roman"/>
          <w:sz w:val="24"/>
          <w:szCs w:val="24"/>
        </w:rPr>
        <w:t xml:space="preserve"> the Commission acknowledges that the</w:t>
      </w:r>
      <w:r w:rsidRPr="006D7B7A">
        <w:rPr>
          <w:rFonts w:ascii="Times New Roman" w:hAnsi="Times New Roman" w:cs="Times New Roman"/>
          <w:sz w:val="24"/>
          <w:szCs w:val="24"/>
        </w:rPr>
        <w:t xml:space="preserve"> </w:t>
      </w:r>
      <w:r>
        <w:rPr>
          <w:rFonts w:ascii="Times New Roman" w:hAnsi="Times New Roman" w:cs="Times New Roman"/>
          <w:sz w:val="24"/>
          <w:szCs w:val="24"/>
        </w:rPr>
        <w:t>maximum 36 dBm EIRP power level</w:t>
      </w:r>
      <w:r>
        <w:rPr>
          <w:rFonts w:ascii="Times New Roman" w:eastAsia="Times New Roman" w:hAnsi="Times New Roman" w:cs="Times New Roman"/>
          <w:sz w:val="24"/>
          <w:szCs w:val="24"/>
        </w:rPr>
        <w:t xml:space="preserve"> adopted in the </w:t>
      </w:r>
      <w:r>
        <w:rPr>
          <w:rFonts w:ascii="Times New Roman" w:eastAsia="Times New Roman" w:hAnsi="Times New Roman" w:cs="Times New Roman"/>
          <w:i/>
          <w:sz w:val="24"/>
          <w:szCs w:val="24"/>
        </w:rPr>
        <w:t>Report and Order</w:t>
      </w:r>
      <w:r>
        <w:rPr>
          <w:rFonts w:ascii="Times New Roman" w:eastAsia="Times New Roman" w:hAnsi="Times New Roman" w:cs="Times New Roman"/>
          <w:sz w:val="24"/>
          <w:szCs w:val="24"/>
        </w:rPr>
        <w:t xml:space="preserve"> for </w:t>
      </w:r>
      <w:r>
        <w:rPr>
          <w:rFonts w:ascii="Times New Roman" w:hAnsi="Times New Roman" w:cs="Times New Roman"/>
          <w:sz w:val="24"/>
          <w:szCs w:val="24"/>
        </w:rPr>
        <w:t>unlicensed operations in the U-NII-5 and U-NII-7 bands is not harmonized with</w:t>
      </w:r>
      <w:r>
        <w:rPr>
          <w:rFonts w:ascii="Times New Roman" w:eastAsia="Times New Roman" w:hAnsi="Times New Roman" w:cs="Times New Roman"/>
          <w:i/>
          <w:sz w:val="24"/>
          <w:szCs w:val="24"/>
        </w:rPr>
        <w:t xml:space="preserve"> </w:t>
      </w:r>
      <w:r>
        <w:rPr>
          <w:rFonts w:ascii="Times New Roman" w:hAnsi="Times New Roman" w:cs="Times New Roman"/>
          <w:sz w:val="24"/>
          <w:szCs w:val="24"/>
        </w:rPr>
        <w:t>the rules for the U-NII-1 and U-NII-3 bands, which allow for higher power point-to-point operations.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PISC thanks the Commission for se</w:t>
      </w:r>
      <w:r>
        <w:rPr>
          <w:rFonts w:ascii="Times New Roman" w:eastAsia="Times New Roman" w:hAnsi="Times New Roman" w:cs="Times New Roman"/>
          <w:sz w:val="24"/>
          <w:szCs w:val="24"/>
          <w:lang w:val="en-US"/>
        </w:rPr>
        <w:t>eking</w:t>
      </w:r>
      <w:r w:rsidRPr="006D7B7A">
        <w:rPr>
          <w:rFonts w:ascii="Times New Roman" w:eastAsia="Times New Roman" w:hAnsi="Times New Roman" w:cs="Times New Roman"/>
          <w:sz w:val="24"/>
          <w:szCs w:val="24"/>
          <w:lang w:val="en-US"/>
        </w:rPr>
        <w:t xml:space="preserve"> comment </w:t>
      </w:r>
      <w:r>
        <w:rPr>
          <w:rFonts w:ascii="Times New Roman" w:eastAsia="Times New Roman" w:hAnsi="Times New Roman" w:cs="Times New Roman"/>
          <w:sz w:val="24"/>
          <w:szCs w:val="24"/>
          <w:lang w:val="en-US"/>
        </w:rPr>
        <w:t xml:space="preserve">on </w:t>
      </w:r>
      <w:r w:rsidRPr="006D7B7A">
        <w:rPr>
          <w:rFonts w:ascii="Times New Roman" w:eastAsia="Times New Roman" w:hAnsi="Times New Roman" w:cs="Times New Roman"/>
          <w:sz w:val="24"/>
          <w:szCs w:val="24"/>
          <w:lang w:val="en-US"/>
        </w:rPr>
        <w:t xml:space="preserve">“whether similar flexibility </w:t>
      </w:r>
      <w:r>
        <w:rPr>
          <w:rFonts w:ascii="Times New Roman" w:eastAsia="Times New Roman" w:hAnsi="Times New Roman" w:cs="Times New Roman"/>
          <w:sz w:val="24"/>
          <w:szCs w:val="24"/>
          <w:lang w:val="en-US"/>
        </w:rPr>
        <w:t xml:space="preserve">can be permitted in the </w:t>
      </w:r>
      <w:r w:rsidRPr="006D7B7A">
        <w:rPr>
          <w:rFonts w:ascii="Times New Roman" w:eastAsia="Times New Roman" w:hAnsi="Times New Roman" w:cs="Times New Roman"/>
          <w:sz w:val="24"/>
          <w:szCs w:val="24"/>
          <w:lang w:val="en-US"/>
        </w:rPr>
        <w:t>6 GHz band.”</w:t>
      </w:r>
      <w:r w:rsidRPr="006D7B7A">
        <w:rPr>
          <w:rFonts w:ascii="Times New Roman" w:eastAsia="Times New Roman" w:hAnsi="Times New Roman" w:cs="Times New Roman"/>
          <w:sz w:val="24"/>
          <w:szCs w:val="24"/>
          <w:vertAlign w:val="superscript"/>
          <w:lang w:val="en-US"/>
        </w:rPr>
        <w:footnoteReference w:id="41"/>
      </w:r>
      <w:r>
        <w:rPr>
          <w:rFonts w:ascii="Times New Roman" w:eastAsia="Times New Roman" w:hAnsi="Times New Roman" w:cs="Times New Roman"/>
          <w:sz w:val="24"/>
          <w:szCs w:val="24"/>
          <w:lang w:val="en-US"/>
        </w:rPr>
        <w:t xml:space="preserve">  PISC strongly supports</w:t>
      </w:r>
      <w:r w:rsidR="006C7C60">
        <w:rPr>
          <w:rFonts w:ascii="Times New Roman" w:eastAsia="Times New Roman" w:hAnsi="Times New Roman" w:cs="Times New Roman"/>
          <w:sz w:val="24"/>
          <w:szCs w:val="24"/>
          <w:lang w:val="en-US"/>
        </w:rPr>
        <w:t xml:space="preserve"> the </w:t>
      </w:r>
      <w:r w:rsidR="006C7C60">
        <w:rPr>
          <w:rFonts w:ascii="Times New Roman" w:eastAsia="Times New Roman" w:hAnsi="Times New Roman" w:cs="Times New Roman"/>
          <w:sz w:val="24"/>
          <w:szCs w:val="24"/>
          <w:lang w:val="en-US"/>
        </w:rPr>
        <w:lastRenderedPageBreak/>
        <w:t xml:space="preserve">authorization of </w:t>
      </w:r>
      <w:r w:rsidR="00585C2A">
        <w:rPr>
          <w:rFonts w:ascii="Times New Roman" w:eastAsia="Times New Roman" w:hAnsi="Times New Roman" w:cs="Times New Roman"/>
          <w:sz w:val="24"/>
          <w:szCs w:val="24"/>
          <w:lang w:val="en-US"/>
        </w:rPr>
        <w:t xml:space="preserve">higher power limits </w:t>
      </w:r>
      <w:r w:rsidR="006C7C60">
        <w:rPr>
          <w:rFonts w:ascii="Times New Roman" w:eastAsia="Times New Roman" w:hAnsi="Times New Roman" w:cs="Times New Roman"/>
          <w:sz w:val="24"/>
          <w:szCs w:val="24"/>
          <w:lang w:val="en-US"/>
        </w:rPr>
        <w:t xml:space="preserve">that </w:t>
      </w:r>
      <w:r w:rsidR="006C7C60">
        <w:rPr>
          <w:rFonts w:ascii="Times New Roman" w:hAnsi="Times New Roman" w:cs="Times New Roman"/>
          <w:sz w:val="24"/>
          <w:szCs w:val="24"/>
        </w:rPr>
        <w:t>harmonize with the rules for the U-NII-1 and U-NII-3 bands, consistent with Section 15.407(a)(1)(iii) and 15.407(a)(3) of the Commission’s Rules.</w:t>
      </w:r>
      <w:r w:rsidR="006C7C60">
        <w:rPr>
          <w:rStyle w:val="FootnoteReference"/>
          <w:rFonts w:ascii="Times New Roman" w:hAnsi="Times New Roman" w:cs="Times New Roman"/>
          <w:sz w:val="24"/>
          <w:szCs w:val="24"/>
        </w:rPr>
        <w:footnoteReference w:id="42"/>
      </w:r>
      <w:r w:rsidR="006C7C60">
        <w:rPr>
          <w:rFonts w:ascii="Times New Roman" w:hAnsi="Times New Roman" w:cs="Times New Roman"/>
          <w:sz w:val="24"/>
          <w:szCs w:val="24"/>
        </w:rPr>
        <w:t xml:space="preserve"> </w:t>
      </w:r>
    </w:p>
    <w:p w14:paraId="09C3AF2B" w14:textId="77777777" w:rsidR="00A80080" w:rsidRDefault="007E0E79" w:rsidP="007E0E79">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PISC </w:t>
      </w:r>
      <w:r w:rsidRPr="007E0E79">
        <w:rPr>
          <w:rFonts w:ascii="Times New Roman" w:eastAsia="Times New Roman" w:hAnsi="Times New Roman" w:cs="Times New Roman"/>
          <w:sz w:val="24"/>
          <w:szCs w:val="24"/>
          <w:lang w:val="en-US"/>
        </w:rPr>
        <w:t>believe</w:t>
      </w:r>
      <w:r w:rsidR="00A80080">
        <w:rPr>
          <w:rFonts w:ascii="Times New Roman" w:eastAsia="Times New Roman" w:hAnsi="Times New Roman" w:cs="Times New Roman"/>
          <w:sz w:val="24"/>
          <w:szCs w:val="24"/>
          <w:lang w:val="en-US"/>
        </w:rPr>
        <w:t>s that addressing the broadband speed and affordability gap in rural, tribal and other underserved areas</w:t>
      </w:r>
      <w:r w:rsidR="00585668">
        <w:rPr>
          <w:rFonts w:ascii="Times New Roman" w:eastAsia="Times New Roman" w:hAnsi="Times New Roman" w:cs="Times New Roman"/>
          <w:sz w:val="24"/>
          <w:szCs w:val="24"/>
          <w:lang w:val="en-US"/>
        </w:rPr>
        <w:t xml:space="preserve"> is</w:t>
      </w:r>
      <w:r>
        <w:rPr>
          <w:rFonts w:ascii="Times New Roman" w:eastAsia="Times New Roman" w:hAnsi="Times New Roman" w:cs="Times New Roman"/>
          <w:sz w:val="24"/>
          <w:szCs w:val="24"/>
          <w:lang w:val="en-US"/>
        </w:rPr>
        <w:t xml:space="preserve"> a co</w:t>
      </w:r>
      <w:r w:rsidR="00A80080">
        <w:rPr>
          <w:rFonts w:ascii="Times New Roman" w:eastAsia="Times New Roman" w:hAnsi="Times New Roman" w:cs="Times New Roman"/>
          <w:sz w:val="24"/>
          <w:szCs w:val="24"/>
          <w:lang w:val="en-US"/>
        </w:rPr>
        <w:t>mpelling public interest that justifies</w:t>
      </w:r>
      <w:r w:rsidR="0058566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harmonizing the power and antenna gain limits for standard power operations under AFC control with the current limits in U-NII-3 and/or U-NII-1. </w:t>
      </w:r>
      <w:r w:rsidRPr="007E0E79">
        <w:rPr>
          <w:rFonts w:ascii="Times New Roman" w:eastAsia="Times New Roman" w:hAnsi="Times New Roman" w:cs="Times New Roman"/>
          <w:sz w:val="24"/>
          <w:szCs w:val="24"/>
          <w:lang w:val="en-US"/>
        </w:rPr>
        <w:t xml:space="preserve">Because equipment that has been long deployed in the 5 GHz is easily adaptable to operate in the 6 GHz band, new fixed wireless broadband networks can be quickly placed in operation, especially if the technical rules are harmonized. </w:t>
      </w:r>
    </w:p>
    <w:p w14:paraId="03F8043D" w14:textId="77777777" w:rsidR="00AB3EE8" w:rsidRDefault="00A80080" w:rsidP="00A80080">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is no reason to conclude that allowing increased power will </w:t>
      </w:r>
      <w:r w:rsidR="007E0E79">
        <w:rPr>
          <w:rFonts w:ascii="Times New Roman" w:eastAsia="Times New Roman" w:hAnsi="Times New Roman" w:cs="Times New Roman"/>
          <w:sz w:val="24"/>
          <w:szCs w:val="24"/>
          <w:lang w:val="en-US"/>
        </w:rPr>
        <w:t>pose</w:t>
      </w:r>
      <w:r>
        <w:rPr>
          <w:rFonts w:ascii="Times New Roman" w:eastAsia="Times New Roman" w:hAnsi="Times New Roman" w:cs="Times New Roman"/>
          <w:sz w:val="24"/>
          <w:szCs w:val="24"/>
          <w:lang w:val="en-US"/>
        </w:rPr>
        <w:t xml:space="preserve"> a substantially greater </w:t>
      </w:r>
      <w:r w:rsidR="007E0E79">
        <w:rPr>
          <w:rFonts w:ascii="Times New Roman" w:eastAsia="Times New Roman" w:hAnsi="Times New Roman" w:cs="Times New Roman"/>
          <w:sz w:val="24"/>
          <w:szCs w:val="24"/>
          <w:lang w:val="en-US"/>
        </w:rPr>
        <w:t xml:space="preserve">risk to incumbent fixed microwave links if </w:t>
      </w:r>
      <w:r w:rsidR="005A711A">
        <w:rPr>
          <w:rFonts w:ascii="Times New Roman" w:eastAsia="Times New Roman" w:hAnsi="Times New Roman" w:cs="Times New Roman"/>
          <w:sz w:val="24"/>
          <w:szCs w:val="24"/>
          <w:lang w:val="en-US"/>
        </w:rPr>
        <w:t xml:space="preserve">the Commission subjects </w:t>
      </w:r>
      <w:r w:rsidR="007E0E79" w:rsidRPr="007E0E79">
        <w:rPr>
          <w:rFonts w:ascii="Times New Roman" w:eastAsia="Times New Roman" w:hAnsi="Times New Roman" w:cs="Times New Roman"/>
          <w:sz w:val="24"/>
          <w:szCs w:val="24"/>
          <w:lang w:val="en-US"/>
        </w:rPr>
        <w:t xml:space="preserve">deployments </w:t>
      </w:r>
      <w:r w:rsidR="007E0E79">
        <w:rPr>
          <w:rFonts w:ascii="Times New Roman" w:eastAsia="Times New Roman" w:hAnsi="Times New Roman" w:cs="Times New Roman"/>
          <w:sz w:val="24"/>
          <w:szCs w:val="24"/>
          <w:lang w:val="en-US"/>
        </w:rPr>
        <w:t>exceeding a threshold level (i.e., 36 dBm</w:t>
      </w:r>
      <w:r w:rsidR="005A711A">
        <w:rPr>
          <w:rFonts w:ascii="Times New Roman" w:eastAsia="Times New Roman" w:hAnsi="Times New Roman" w:cs="Times New Roman"/>
          <w:sz w:val="24"/>
          <w:szCs w:val="24"/>
          <w:lang w:val="en-US"/>
        </w:rPr>
        <w:t xml:space="preserve"> EIRP) </w:t>
      </w:r>
      <w:r w:rsidR="007E0E79" w:rsidRPr="007E0E79">
        <w:rPr>
          <w:rFonts w:ascii="Times New Roman" w:eastAsia="Times New Roman" w:hAnsi="Times New Roman" w:cs="Times New Roman"/>
          <w:sz w:val="24"/>
          <w:szCs w:val="24"/>
          <w:lang w:val="en-US"/>
        </w:rPr>
        <w:t xml:space="preserve">to </w:t>
      </w:r>
      <w:r w:rsidR="007E0E79">
        <w:rPr>
          <w:rFonts w:ascii="Times New Roman" w:eastAsia="Times New Roman" w:hAnsi="Times New Roman" w:cs="Times New Roman"/>
          <w:sz w:val="24"/>
          <w:szCs w:val="24"/>
          <w:lang w:val="en-US"/>
        </w:rPr>
        <w:t>both professional installation and prior coordination and approval by a certified</w:t>
      </w:r>
      <w:r>
        <w:rPr>
          <w:rFonts w:ascii="Times New Roman" w:eastAsia="Times New Roman" w:hAnsi="Times New Roman" w:cs="Times New Roman"/>
          <w:sz w:val="24"/>
          <w:szCs w:val="24"/>
          <w:lang w:val="en-US"/>
        </w:rPr>
        <w:t xml:space="preserve"> AFC.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FNPRM </w:t>
      </w:r>
      <w:r>
        <w:rPr>
          <w:rFonts w:ascii="Times New Roman" w:eastAsia="Times New Roman" w:hAnsi="Times New Roman" w:cs="Times New Roman"/>
          <w:sz w:val="24"/>
          <w:szCs w:val="24"/>
        </w:rPr>
        <w:t>acknowledges that the directional antennas commonly used by fixed wireless providers today are capable of transmitting energy in the direction of incumbent fixed links, explaining correctly that “</w:t>
      </w:r>
      <w:r>
        <w:rPr>
          <w:rFonts w:ascii="Times New Roman" w:eastAsia="Times New Roman" w:hAnsi="Times New Roman" w:cs="Times New Roman"/>
          <w:sz w:val="24"/>
          <w:szCs w:val="24"/>
          <w:lang w:val="en-US"/>
        </w:rPr>
        <w:t xml:space="preserve">when the transmit </w:t>
      </w:r>
      <w:r w:rsidRPr="006C1A51">
        <w:rPr>
          <w:rFonts w:ascii="Times New Roman" w:eastAsia="Times New Roman" w:hAnsi="Times New Roman" w:cs="Times New Roman"/>
          <w:sz w:val="24"/>
          <w:szCs w:val="24"/>
          <w:lang w:val="en-US"/>
        </w:rPr>
        <w:t>antenna points away from a microwave receiver, the effect would be that the access point has a lower</w:t>
      </w:r>
      <w:r>
        <w:rPr>
          <w:rFonts w:ascii="Times New Roman" w:eastAsia="Times New Roman" w:hAnsi="Times New Roman" w:cs="Times New Roman"/>
          <w:sz w:val="24"/>
          <w:szCs w:val="24"/>
          <w:lang w:val="en-US"/>
        </w:rPr>
        <w:t xml:space="preserve"> </w:t>
      </w:r>
      <w:r w:rsidRPr="006C1A51">
        <w:rPr>
          <w:rFonts w:ascii="Times New Roman" w:eastAsia="Times New Roman" w:hAnsi="Times New Roman" w:cs="Times New Roman"/>
          <w:sz w:val="24"/>
          <w:szCs w:val="24"/>
          <w:lang w:val="en-US"/>
        </w:rPr>
        <w:t>EIRP in the direction of the receiver.</w:t>
      </w:r>
      <w:r>
        <w:rPr>
          <w:rFonts w:ascii="Times New Roman" w:eastAsia="Times New Roman" w:hAnsi="Times New Roman" w:cs="Times New Roman"/>
          <w:sz w:val="24"/>
          <w:szCs w:val="24"/>
          <w:lang w:val="en-US"/>
        </w:rPr>
        <w:t>”</w:t>
      </w:r>
      <w:r>
        <w:rPr>
          <w:rStyle w:val="FootnoteReference"/>
          <w:rFonts w:ascii="Times New Roman" w:hAnsi="Times New Roman" w:cs="Times New Roman"/>
          <w:color w:val="000000"/>
          <w:sz w:val="24"/>
          <w:szCs w:val="24"/>
          <w:shd w:val="clear" w:color="auto" w:fill="FFFFFF"/>
        </w:rPr>
        <w:footnoteReference w:id="43"/>
      </w:r>
      <w:r>
        <w:rPr>
          <w:rFonts w:ascii="Times New Roman" w:eastAsia="Times New Roman" w:hAnsi="Times New Roman" w:cs="Times New Roman"/>
          <w:sz w:val="24"/>
          <w:szCs w:val="24"/>
          <w:lang w:val="en-US"/>
        </w:rPr>
        <w:t xml:space="preserve"> </w:t>
      </w:r>
    </w:p>
    <w:p w14:paraId="5169003D" w14:textId="77777777" w:rsidR="00861CAF" w:rsidRDefault="00AB3EE8" w:rsidP="00A80080">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val="en-US"/>
        </w:rPr>
        <w:t xml:space="preserve">There is no reason why the rules should require the AFCs to assume that every fixed wireless P2P or sector antenna is omnidirectional, when that’s demonstrably not the case. </w:t>
      </w:r>
      <w:r w:rsidR="00861CAF">
        <w:rPr>
          <w:rFonts w:ascii="Times New Roman" w:eastAsia="Times New Roman" w:hAnsi="Times New Roman" w:cs="Times New Roman"/>
          <w:sz w:val="24"/>
          <w:szCs w:val="24"/>
          <w:lang w:val="en-US"/>
        </w:rPr>
        <w:t>Th</w:t>
      </w:r>
      <w:r w:rsidR="00E54C7C">
        <w:rPr>
          <w:rFonts w:ascii="Times New Roman" w:eastAsia="Times New Roman" w:hAnsi="Times New Roman" w:cs="Times New Roman"/>
          <w:sz w:val="24"/>
          <w:szCs w:val="24"/>
          <w:lang w:val="en-US"/>
        </w:rPr>
        <w:t xml:space="preserve">e coordination of fixed unlicensed with fixed licensed P2P links should be particularly straightforward, especially given the capabilities of AFCs. </w:t>
      </w:r>
      <w:r>
        <w:rPr>
          <w:rFonts w:ascii="Times New Roman" w:eastAsia="Times New Roman" w:hAnsi="Times New Roman" w:cs="Times New Roman"/>
          <w:sz w:val="24"/>
          <w:szCs w:val="24"/>
          <w:lang w:val="en-US"/>
        </w:rPr>
        <w:t xml:space="preserve">AFCs far less sophisticated than the Spectrum Access Systems that the Commission has already certified to protect U.S. Navy </w:t>
      </w:r>
      <w:r>
        <w:rPr>
          <w:rFonts w:ascii="Times New Roman" w:eastAsia="Times New Roman" w:hAnsi="Times New Roman" w:cs="Times New Roman"/>
          <w:sz w:val="24"/>
          <w:szCs w:val="24"/>
          <w:lang w:val="en-US"/>
        </w:rPr>
        <w:lastRenderedPageBreak/>
        <w:t xml:space="preserve">operations in the 3.5 GHz band can make this calculation if a professional installer (or operator) is required to </w:t>
      </w:r>
      <w:r>
        <w:rPr>
          <w:rFonts w:ascii="Times New Roman" w:hAnsi="Times New Roman" w:cs="Times New Roman"/>
          <w:color w:val="000000"/>
          <w:sz w:val="24"/>
          <w:szCs w:val="24"/>
          <w:shd w:val="clear" w:color="auto" w:fill="FFFFFF"/>
        </w:rPr>
        <w:t>provide the AFC with the antenna’s technical characteristics, such as height, antenna manufacturer and model number, beam pattern (which could be pre-stored for a given antenna model), azimuth and up/down tilt</w:t>
      </w:r>
      <w:r w:rsidR="00E54C7C">
        <w:rPr>
          <w:rFonts w:ascii="Times New Roman" w:hAnsi="Times New Roman" w:cs="Times New Roman"/>
          <w:color w:val="000000"/>
          <w:sz w:val="24"/>
          <w:szCs w:val="24"/>
          <w:shd w:val="clear" w:color="auto" w:fill="FFFFFF"/>
        </w:rPr>
        <w:t xml:space="preserve">. </w:t>
      </w:r>
    </w:p>
    <w:p w14:paraId="4FAF8E4D" w14:textId="2A59329D" w:rsidR="00A80080" w:rsidRDefault="00861CAF" w:rsidP="00A80080">
      <w:pPr>
        <w:spacing w:line="480" w:lineRule="auto"/>
        <w:ind w:firstLine="720"/>
        <w:contextualSpacing/>
        <w:rPr>
          <w:rFonts w:ascii="Times New Roman" w:eastAsia="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In addition, </w:t>
      </w:r>
      <w:r>
        <w:rPr>
          <w:rFonts w:ascii="Times New Roman" w:hAnsi="Times New Roman" w:cs="Times New Roman"/>
          <w:color w:val="000000"/>
          <w:sz w:val="24"/>
          <w:szCs w:val="24"/>
          <w:shd w:val="clear" w:color="auto" w:fill="FFFFFF"/>
          <w:lang w:val="en-US"/>
        </w:rPr>
        <w:t xml:space="preserve">the Commission should allow </w:t>
      </w:r>
      <w:r w:rsidRPr="00861CAF">
        <w:rPr>
          <w:rFonts w:ascii="Times New Roman" w:hAnsi="Times New Roman" w:cs="Times New Roman"/>
          <w:color w:val="000000"/>
          <w:sz w:val="24"/>
          <w:szCs w:val="24"/>
          <w:shd w:val="clear" w:color="auto" w:fill="FFFFFF"/>
          <w:lang w:val="en-US"/>
        </w:rPr>
        <w:t>AFC</w:t>
      </w:r>
      <w:r>
        <w:rPr>
          <w:rFonts w:ascii="Times New Roman" w:hAnsi="Times New Roman" w:cs="Times New Roman"/>
          <w:color w:val="000000"/>
          <w:sz w:val="24"/>
          <w:szCs w:val="24"/>
          <w:shd w:val="clear" w:color="auto" w:fill="FFFFFF"/>
          <w:lang w:val="en-US"/>
        </w:rPr>
        <w:t xml:space="preserve">s to take account of </w:t>
      </w:r>
      <w:r w:rsidRPr="00861CAF">
        <w:rPr>
          <w:rFonts w:ascii="Times New Roman" w:hAnsi="Times New Roman" w:cs="Times New Roman"/>
          <w:color w:val="000000"/>
          <w:sz w:val="24"/>
          <w:szCs w:val="24"/>
          <w:shd w:val="clear" w:color="auto" w:fill="FFFFFF"/>
          <w:lang w:val="en-US"/>
        </w:rPr>
        <w:t>antenna pattern and orientation information for any standard power access point for which the information can be reliably determined and communicated to the AFC</w:t>
      </w:r>
      <w:r>
        <w:rPr>
          <w:rFonts w:ascii="Times New Roman" w:hAnsi="Times New Roman" w:cs="Times New Roman"/>
          <w:color w:val="000000"/>
          <w:sz w:val="24"/>
          <w:szCs w:val="24"/>
          <w:shd w:val="clear" w:color="auto" w:fill="FFFFFF"/>
          <w:lang w:val="en-US"/>
        </w:rPr>
        <w:t>, irrespective of whether the AP is outdoors or seeking permission to operate above standard power. There are many scenarios where, both indoors and outdoors, an AFC could greenlight the use of substantially more vacant spectrum in the band if it knew that the AP is configured to use a directional antenna to transmit only in a certain direction or sector.  For example, inside a warehouse or factory, the enterprise may only need (or want) an AP to transmit out from a corner of the room or building in one direction. There seems to be no good reason to assume the AP’s antenna is omnidirectional if it is not, particularly where that needlessly wastes spectrum capacity that could be put to productive use.</w:t>
      </w:r>
    </w:p>
    <w:p w14:paraId="263B4AD2" w14:textId="1EF60095" w:rsidR="007E0E79" w:rsidRPr="007E0E79" w:rsidRDefault="007E0E79" w:rsidP="007E0E79">
      <w:pPr>
        <w:spacing w:line="480" w:lineRule="auto"/>
        <w:ind w:firstLine="720"/>
        <w:contextualSpacing/>
        <w:rPr>
          <w:rFonts w:ascii="Times New Roman" w:eastAsia="Times New Roman" w:hAnsi="Times New Roman" w:cs="Times New Roman"/>
          <w:sz w:val="24"/>
          <w:szCs w:val="24"/>
          <w:lang w:val="en-US"/>
        </w:rPr>
      </w:pPr>
      <w:r w:rsidRPr="007E0E79">
        <w:rPr>
          <w:rFonts w:ascii="Times New Roman" w:eastAsia="Times New Roman" w:hAnsi="Times New Roman" w:cs="Times New Roman"/>
          <w:sz w:val="24"/>
          <w:szCs w:val="24"/>
          <w:lang w:val="en-US"/>
        </w:rPr>
        <w:t xml:space="preserve">Nor is there a reason to preclude point-to-multipoint (P2MP) deployments, which are needed most in rural and underserved areas.  </w:t>
      </w:r>
      <w:r w:rsidR="00B97C4F" w:rsidRPr="005A711A">
        <w:rPr>
          <w:rFonts w:ascii="Times New Roman" w:eastAsia="Times New Roman" w:hAnsi="Times New Roman" w:cs="Times New Roman"/>
          <w:sz w:val="24"/>
          <w:szCs w:val="24"/>
          <w:lang w:val="en-US"/>
        </w:rPr>
        <w:t xml:space="preserve">The directional nature of </w:t>
      </w:r>
      <w:r w:rsidR="00B97C4F" w:rsidRPr="005A711A">
        <w:rPr>
          <w:rFonts w:ascii="Times New Roman" w:eastAsia="Times New Roman" w:hAnsi="Times New Roman" w:cs="Times New Roman"/>
          <w:i/>
          <w:iCs/>
          <w:sz w:val="24"/>
          <w:szCs w:val="24"/>
          <w:lang w:val="en-US"/>
        </w:rPr>
        <w:t xml:space="preserve">fixed </w:t>
      </w:r>
      <w:r w:rsidR="00B97C4F" w:rsidRPr="005A711A">
        <w:rPr>
          <w:rFonts w:ascii="Times New Roman" w:eastAsia="Times New Roman" w:hAnsi="Times New Roman" w:cs="Times New Roman"/>
          <w:sz w:val="24"/>
          <w:szCs w:val="24"/>
          <w:lang w:val="en-US"/>
        </w:rPr>
        <w:t>wireless P2MP permits the coordination of s</w:t>
      </w:r>
      <w:r w:rsidR="00B97C4F">
        <w:rPr>
          <w:rFonts w:ascii="Times New Roman" w:eastAsia="Times New Roman" w:hAnsi="Times New Roman" w:cs="Times New Roman"/>
          <w:sz w:val="24"/>
          <w:szCs w:val="24"/>
          <w:lang w:val="en-US"/>
        </w:rPr>
        <w:t>ectors even where fixed incumbent links</w:t>
      </w:r>
      <w:r w:rsidR="00B97C4F" w:rsidRPr="005A711A">
        <w:rPr>
          <w:rFonts w:ascii="Times New Roman" w:eastAsia="Times New Roman" w:hAnsi="Times New Roman" w:cs="Times New Roman"/>
          <w:sz w:val="24"/>
          <w:szCs w:val="24"/>
          <w:lang w:val="en-US"/>
        </w:rPr>
        <w:t xml:space="preserve"> are in the area, but located outside the beam of the base station and the client device return path.</w:t>
      </w:r>
      <w:r w:rsidR="00B97C4F">
        <w:rPr>
          <w:rStyle w:val="FootnoteReference"/>
          <w:rFonts w:ascii="Times New Roman" w:eastAsia="Times New Roman" w:hAnsi="Times New Roman" w:cs="Times New Roman"/>
          <w:sz w:val="24"/>
          <w:szCs w:val="24"/>
          <w:lang w:val="en-US"/>
        </w:rPr>
        <w:footnoteReference w:id="44"/>
      </w:r>
      <w:r w:rsidR="00B97C4F">
        <w:rPr>
          <w:rFonts w:ascii="Times New Roman" w:eastAsia="Times New Roman" w:hAnsi="Times New Roman" w:cs="Times New Roman"/>
          <w:sz w:val="24"/>
          <w:szCs w:val="24"/>
          <w:lang w:val="en-US"/>
        </w:rPr>
        <w:t xml:space="preserve"> </w:t>
      </w:r>
      <w:r w:rsidRPr="007E0E79">
        <w:rPr>
          <w:rFonts w:ascii="Times New Roman" w:eastAsia="Times New Roman" w:hAnsi="Times New Roman" w:cs="Times New Roman"/>
          <w:sz w:val="24"/>
          <w:szCs w:val="24"/>
          <w:lang w:val="en-US"/>
        </w:rPr>
        <w:t xml:space="preserve">The Commission‘s proposed AFC requirement, coupled with a professional installation requirement, should remove any concern about either higher antenna gain or P2MP deployments.  If a higher-power operation in a particular location will cause harmful interference to an incumbent, the AFC will simply </w:t>
      </w:r>
      <w:r w:rsidRPr="007E0E79">
        <w:rPr>
          <w:rFonts w:ascii="Times New Roman" w:eastAsia="Times New Roman" w:hAnsi="Times New Roman" w:cs="Times New Roman"/>
          <w:sz w:val="24"/>
          <w:szCs w:val="24"/>
          <w:lang w:val="en-US"/>
        </w:rPr>
        <w:lastRenderedPageBreak/>
        <w:t xml:space="preserve">deny the request. </w:t>
      </w:r>
      <w:r w:rsidR="00B97C4F">
        <w:rPr>
          <w:rFonts w:ascii="Times New Roman" w:eastAsia="Times New Roman" w:hAnsi="Times New Roman" w:cs="Times New Roman"/>
          <w:sz w:val="24"/>
          <w:szCs w:val="24"/>
          <w:lang w:val="en-US"/>
        </w:rPr>
        <w:t>The Commission can of course condition this authorization on its specific certification that an AFC is capable of making this calculation.</w:t>
      </w:r>
    </w:p>
    <w:p w14:paraId="6166AA9A" w14:textId="575D6F3E" w:rsidR="00F966AF" w:rsidRPr="00F966AF" w:rsidRDefault="00E54C7C" w:rsidP="00F966AF">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While the added risk of harmful interference would appear to be negligible, the public interest benefits are compelling and demonstrable. </w:t>
      </w:r>
      <w:r w:rsidR="007E0E79">
        <w:rPr>
          <w:rFonts w:ascii="Times New Roman" w:eastAsia="Times New Roman" w:hAnsi="Times New Roman" w:cs="Times New Roman"/>
          <w:sz w:val="24"/>
          <w:szCs w:val="24"/>
          <w:lang w:val="en-US"/>
        </w:rPr>
        <w:t>Both PISC</w:t>
      </w:r>
      <w:r w:rsidR="007E0E79" w:rsidRPr="007E0E79">
        <w:rPr>
          <w:rFonts w:ascii="Times New Roman" w:eastAsia="Times New Roman" w:hAnsi="Times New Roman" w:cs="Times New Roman"/>
          <w:sz w:val="24"/>
          <w:szCs w:val="24"/>
          <w:lang w:val="en-US"/>
        </w:rPr>
        <w:t xml:space="preserve"> and </w:t>
      </w:r>
      <w:r w:rsidR="00224AC6">
        <w:rPr>
          <w:rFonts w:ascii="Times New Roman" w:eastAsia="Times New Roman" w:hAnsi="Times New Roman" w:cs="Times New Roman"/>
          <w:sz w:val="24"/>
          <w:szCs w:val="24"/>
          <w:lang w:val="en-US"/>
        </w:rPr>
        <w:t>the Broadband Connects America c</w:t>
      </w:r>
      <w:r w:rsidR="007E0E79" w:rsidRPr="007E0E79">
        <w:rPr>
          <w:rFonts w:ascii="Times New Roman" w:eastAsia="Times New Roman" w:hAnsi="Times New Roman" w:cs="Times New Roman"/>
          <w:sz w:val="24"/>
          <w:szCs w:val="24"/>
          <w:lang w:val="en-US"/>
        </w:rPr>
        <w:t xml:space="preserve">oalition </w:t>
      </w:r>
      <w:r w:rsidR="00DE50B8">
        <w:rPr>
          <w:rFonts w:ascii="Times New Roman" w:eastAsia="Times New Roman" w:hAnsi="Times New Roman" w:cs="Times New Roman"/>
          <w:sz w:val="24"/>
          <w:szCs w:val="24"/>
          <w:lang w:val="en-US"/>
        </w:rPr>
        <w:t>have explained</w:t>
      </w:r>
      <w:r w:rsidR="007E0E79" w:rsidRPr="007E0E79">
        <w:rPr>
          <w:rFonts w:ascii="Times New Roman" w:eastAsia="Times New Roman" w:hAnsi="Times New Roman" w:cs="Times New Roman"/>
          <w:sz w:val="24"/>
          <w:szCs w:val="24"/>
          <w:lang w:val="en-US"/>
        </w:rPr>
        <w:t xml:space="preserve"> at length in </w:t>
      </w:r>
      <w:r w:rsidR="00DE50B8">
        <w:rPr>
          <w:rFonts w:ascii="Times New Roman" w:eastAsia="Times New Roman" w:hAnsi="Times New Roman" w:cs="Times New Roman"/>
          <w:sz w:val="24"/>
          <w:szCs w:val="24"/>
          <w:lang w:val="en-US"/>
        </w:rPr>
        <w:t>comments in other recent proceedings that</w:t>
      </w:r>
      <w:r w:rsidR="007E0E79" w:rsidRPr="007E0E79">
        <w:rPr>
          <w:rFonts w:ascii="Times New Roman" w:eastAsia="Times New Roman" w:hAnsi="Times New Roman" w:cs="Times New Roman"/>
          <w:sz w:val="24"/>
          <w:szCs w:val="24"/>
          <w:lang w:val="en-US"/>
        </w:rPr>
        <w:t xml:space="preserve"> rural, tribal and sma</w:t>
      </w:r>
      <w:r w:rsidR="00DE50B8">
        <w:rPr>
          <w:rFonts w:ascii="Times New Roman" w:eastAsia="Times New Roman" w:hAnsi="Times New Roman" w:cs="Times New Roman"/>
          <w:sz w:val="24"/>
          <w:szCs w:val="24"/>
          <w:lang w:val="en-US"/>
        </w:rPr>
        <w:t>ll town America lack</w:t>
      </w:r>
      <w:r w:rsidR="007E0E79" w:rsidRPr="007E0E79">
        <w:rPr>
          <w:rFonts w:ascii="Times New Roman" w:eastAsia="Times New Roman" w:hAnsi="Times New Roman" w:cs="Times New Roman"/>
          <w:sz w:val="24"/>
          <w:szCs w:val="24"/>
          <w:lang w:val="en-US"/>
        </w:rPr>
        <w:t xml:space="preserve"> access to high-speed broadband at much higher rates than their counterparts in urban and suburban areas</w:t>
      </w:r>
      <w:r w:rsidR="00DE50B8">
        <w:rPr>
          <w:rFonts w:ascii="Times New Roman" w:eastAsia="Times New Roman" w:hAnsi="Times New Roman" w:cs="Times New Roman"/>
          <w:sz w:val="24"/>
          <w:szCs w:val="24"/>
          <w:lang w:val="en-US"/>
        </w:rPr>
        <w:t>.</w:t>
      </w:r>
      <w:r w:rsidR="00DE50B8">
        <w:rPr>
          <w:rStyle w:val="FootnoteReference"/>
          <w:rFonts w:ascii="Times New Roman" w:eastAsia="Times New Roman" w:hAnsi="Times New Roman" w:cs="Times New Roman"/>
          <w:sz w:val="24"/>
          <w:szCs w:val="24"/>
          <w:lang w:val="en-US"/>
        </w:rPr>
        <w:footnoteReference w:id="45"/>
      </w:r>
      <w:r w:rsidR="00DE50B8">
        <w:rPr>
          <w:rFonts w:ascii="Times New Roman" w:eastAsia="Times New Roman" w:hAnsi="Times New Roman" w:cs="Times New Roman"/>
          <w:sz w:val="24"/>
          <w:szCs w:val="24"/>
          <w:lang w:val="en-US"/>
        </w:rPr>
        <w:t xml:space="preserve"> </w:t>
      </w:r>
      <w:r w:rsidR="007E0E79" w:rsidRPr="007E0E79">
        <w:rPr>
          <w:rFonts w:ascii="Times New Roman" w:eastAsia="Times New Roman" w:hAnsi="Times New Roman" w:cs="Times New Roman"/>
          <w:sz w:val="24"/>
          <w:szCs w:val="24"/>
          <w:lang w:val="en-US"/>
        </w:rPr>
        <w:t>The Commission‘s 2018 Broadband Deployme</w:t>
      </w:r>
      <w:r w:rsidR="000C41D9">
        <w:rPr>
          <w:rFonts w:ascii="Times New Roman" w:eastAsia="Times New Roman" w:hAnsi="Times New Roman" w:cs="Times New Roman"/>
          <w:sz w:val="24"/>
          <w:szCs w:val="24"/>
          <w:lang w:val="en-US"/>
        </w:rPr>
        <w:t>nt Report found that roughly 30 percent</w:t>
      </w:r>
      <w:r w:rsidR="007E0E79" w:rsidRPr="007E0E79">
        <w:rPr>
          <w:rFonts w:ascii="Times New Roman" w:eastAsia="Times New Roman" w:hAnsi="Times New Roman" w:cs="Times New Roman"/>
          <w:sz w:val="24"/>
          <w:szCs w:val="24"/>
          <w:lang w:val="en-US"/>
        </w:rPr>
        <w:t xml:space="preserve"> of rural Americans live in a census tract where no internet service provider offers a fixed high-speed broadband service, while only 2 percent of the urban population lacks at least one provider offering 25/3 Mbps service.</w:t>
      </w:r>
      <w:r w:rsidR="00F966AF">
        <w:rPr>
          <w:rStyle w:val="FootnoteReference"/>
          <w:rFonts w:ascii="Times New Roman" w:eastAsia="Times New Roman" w:hAnsi="Times New Roman" w:cs="Times New Roman"/>
          <w:sz w:val="24"/>
          <w:szCs w:val="24"/>
          <w:lang w:val="en-US"/>
        </w:rPr>
        <w:footnoteReference w:id="46"/>
      </w:r>
      <w:r w:rsidR="00F966AF">
        <w:rPr>
          <w:rFonts w:ascii="Times New Roman" w:eastAsia="Times New Roman" w:hAnsi="Times New Roman" w:cs="Times New Roman"/>
          <w:sz w:val="24"/>
          <w:szCs w:val="24"/>
          <w:lang w:val="en-US"/>
        </w:rPr>
        <w:t xml:space="preserve"> </w:t>
      </w:r>
      <w:r w:rsidR="00F966AF" w:rsidRPr="00F966AF">
        <w:rPr>
          <w:rFonts w:ascii="Times New Roman" w:eastAsia="Times New Roman" w:hAnsi="Times New Roman" w:cs="Times New Roman"/>
          <w:sz w:val="24"/>
          <w:szCs w:val="24"/>
        </w:rPr>
        <w:t>A recent study by BroadbandNow Research found that 42 million Americans lack access to wireline or fixed wireless broadband, nearly 13 percent of the population, with a disproportionate share in rural and small town communities.</w:t>
      </w:r>
      <w:r w:rsidR="00F966AF" w:rsidRPr="00F966AF">
        <w:rPr>
          <w:rFonts w:ascii="Times New Roman" w:eastAsia="Times New Roman" w:hAnsi="Times New Roman" w:cs="Times New Roman"/>
          <w:sz w:val="24"/>
          <w:szCs w:val="24"/>
          <w:vertAlign w:val="superscript"/>
        </w:rPr>
        <w:footnoteReference w:id="47"/>
      </w:r>
      <w:r w:rsidR="00F966AF" w:rsidRPr="00F966AF">
        <w:rPr>
          <w:rFonts w:ascii="Times New Roman" w:eastAsia="Times New Roman" w:hAnsi="Times New Roman" w:cs="Times New Roman"/>
          <w:sz w:val="24"/>
          <w:szCs w:val="24"/>
        </w:rPr>
        <w:t xml:space="preserve"> Surveys by the Pew Research Center found that only 63 percent of rural Americans said they having broadband at home, compared to 79 percent of suburban Americans and 75 percent of Americans living in urban areas.</w:t>
      </w:r>
      <w:r w:rsidR="00F966AF" w:rsidRPr="00F966AF">
        <w:rPr>
          <w:rFonts w:ascii="Times New Roman" w:eastAsia="Times New Roman" w:hAnsi="Times New Roman" w:cs="Times New Roman"/>
          <w:sz w:val="24"/>
          <w:szCs w:val="24"/>
          <w:vertAlign w:val="superscript"/>
        </w:rPr>
        <w:footnoteReference w:id="48"/>
      </w:r>
    </w:p>
    <w:p w14:paraId="2D7ADC91" w14:textId="77777777" w:rsidR="00E90CCE" w:rsidRPr="00E90CCE" w:rsidRDefault="00E90CCE" w:rsidP="00E90CCE">
      <w:pPr>
        <w:spacing w:line="480" w:lineRule="auto"/>
        <w:ind w:firstLine="720"/>
        <w:contextualSpacing/>
        <w:rPr>
          <w:rFonts w:ascii="Times New Roman" w:eastAsia="Times New Roman" w:hAnsi="Times New Roman" w:cs="Times New Roman"/>
          <w:sz w:val="24"/>
          <w:szCs w:val="24"/>
          <w:lang w:val="en-US"/>
        </w:rPr>
      </w:pPr>
      <w:r w:rsidRPr="00E90CCE">
        <w:rPr>
          <w:rFonts w:ascii="Times New Roman" w:eastAsia="Times New Roman" w:hAnsi="Times New Roman" w:cs="Times New Roman"/>
          <w:sz w:val="24"/>
          <w:szCs w:val="24"/>
        </w:rPr>
        <w:lastRenderedPageBreak/>
        <w:t xml:space="preserve">These less-densely-populated areas tend to have lower rates of broadband adoption due to the high costs for both backhaul and last mile buildout. This makes fixed wireless access, both P2P and P2MP, particularly potent in narrowing the connectivity gap. </w:t>
      </w:r>
      <w:r w:rsidRPr="00E90CCE">
        <w:rPr>
          <w:rFonts w:ascii="Times New Roman" w:eastAsia="Times New Roman" w:hAnsi="Times New Roman" w:cs="Times New Roman"/>
          <w:sz w:val="24"/>
          <w:szCs w:val="24"/>
          <w:lang w:val="en-US"/>
        </w:rPr>
        <w:t xml:space="preserve">Rural communities will especially benefit from the higher capacity throughput that wireless ISPs could potentially offer with local access to this spectrum. As the current COVID-19 crisis has made painfully clear, adequate and affordable broadband access has become critical for accessing education, healthcare, government services and the modern workplace. </w:t>
      </w:r>
    </w:p>
    <w:p w14:paraId="6FFDE23D" w14:textId="32F33CDE" w:rsidR="00B640A6" w:rsidRPr="00B640A6" w:rsidRDefault="00B640A6" w:rsidP="00B640A6">
      <w:pPr>
        <w:spacing w:line="480" w:lineRule="auto"/>
        <w:ind w:firstLine="720"/>
        <w:contextualSpacing/>
        <w:rPr>
          <w:rFonts w:ascii="Times New Roman" w:eastAsia="Times New Roman" w:hAnsi="Times New Roman" w:cs="Times New Roman"/>
          <w:sz w:val="24"/>
          <w:szCs w:val="24"/>
          <w:lang w:val="en-US"/>
        </w:rPr>
      </w:pPr>
      <w:r w:rsidRPr="00B640A6">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broadband gap in rural and in low-income areas </w:t>
      </w:r>
      <w:r w:rsidRPr="00B640A6">
        <w:rPr>
          <w:rFonts w:ascii="Times New Roman" w:eastAsia="Times New Roman" w:hAnsi="Times New Roman" w:cs="Times New Roman"/>
          <w:sz w:val="24"/>
          <w:szCs w:val="24"/>
          <w:lang w:val="en-US"/>
        </w:rPr>
        <w:t xml:space="preserve">brings wide-ranging harms, both economically and socially. Without high-speed broadband access, rural Americans are left at a disadvantage in relation to the modern workplace, educational system, access to online government services and many entertainment options. </w:t>
      </w:r>
      <w:r w:rsidR="006802CC" w:rsidRPr="00B640A6">
        <w:rPr>
          <w:rFonts w:ascii="Times New Roman" w:eastAsia="Times New Roman" w:hAnsi="Times New Roman" w:cs="Times New Roman"/>
          <w:sz w:val="24"/>
          <w:szCs w:val="24"/>
          <w:lang w:val="en-US"/>
        </w:rPr>
        <w:t xml:space="preserve">Studies show both people and economic activity is moving out of rural areas lacking high-speed and affordable broadband.  </w:t>
      </w:r>
    </w:p>
    <w:p w14:paraId="72B49160" w14:textId="62572D1E" w:rsidR="00585668" w:rsidRPr="00585668" w:rsidRDefault="00612DAA" w:rsidP="00585668">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Even i</w:t>
      </w:r>
      <w:r w:rsidR="00B640A6" w:rsidRPr="00B640A6">
        <w:rPr>
          <w:rFonts w:ascii="Times New Roman" w:eastAsia="Times New Roman" w:hAnsi="Times New Roman" w:cs="Times New Roman"/>
          <w:sz w:val="24"/>
          <w:szCs w:val="24"/>
          <w:lang w:val="en-US"/>
        </w:rPr>
        <w:t xml:space="preserve">n rural areas where high-speed broadband has been deployed, consumers are </w:t>
      </w:r>
      <w:r w:rsidR="00B640A6">
        <w:rPr>
          <w:rFonts w:ascii="Times New Roman" w:eastAsia="Times New Roman" w:hAnsi="Times New Roman" w:cs="Times New Roman"/>
          <w:sz w:val="24"/>
          <w:szCs w:val="24"/>
          <w:lang w:val="en-US"/>
        </w:rPr>
        <w:t xml:space="preserve">far </w:t>
      </w:r>
      <w:r w:rsidR="00B640A6" w:rsidRPr="00B640A6">
        <w:rPr>
          <w:rFonts w:ascii="Times New Roman" w:eastAsia="Times New Roman" w:hAnsi="Times New Roman" w:cs="Times New Roman"/>
          <w:sz w:val="24"/>
          <w:szCs w:val="24"/>
          <w:lang w:val="en-US"/>
        </w:rPr>
        <w:t>less likely to have a choice among competing providers.</w:t>
      </w:r>
      <w:r w:rsidR="00B640A6">
        <w:rPr>
          <w:rStyle w:val="FootnoteReference"/>
          <w:rFonts w:ascii="Times New Roman" w:eastAsia="Times New Roman" w:hAnsi="Times New Roman" w:cs="Times New Roman"/>
          <w:sz w:val="24"/>
          <w:szCs w:val="24"/>
          <w:lang w:val="en-US"/>
        </w:rPr>
        <w:footnoteReference w:id="49"/>
      </w:r>
      <w:r>
        <w:rPr>
          <w:rFonts w:ascii="Times New Roman" w:eastAsia="Times New Roman" w:hAnsi="Times New Roman" w:cs="Times New Roman"/>
          <w:sz w:val="24"/>
          <w:szCs w:val="24"/>
          <w:lang w:val="en-US"/>
        </w:rPr>
        <w:t xml:space="preserve"> R</w:t>
      </w:r>
      <w:r w:rsidR="00B640A6" w:rsidRPr="00B640A6">
        <w:rPr>
          <w:rFonts w:ascii="Times New Roman" w:eastAsia="Times New Roman" w:hAnsi="Times New Roman" w:cs="Times New Roman"/>
          <w:sz w:val="24"/>
          <w:szCs w:val="24"/>
          <w:lang w:val="en-US"/>
        </w:rPr>
        <w:t xml:space="preserve">ural consumers frequently pay more money for lower quality service despite the fact that, on average, they earn less than </w:t>
      </w:r>
      <w:r w:rsidR="006802CC">
        <w:rPr>
          <w:rFonts w:ascii="Times New Roman" w:eastAsia="Times New Roman" w:hAnsi="Times New Roman" w:cs="Times New Roman"/>
          <w:sz w:val="24"/>
          <w:szCs w:val="24"/>
          <w:lang w:val="en-US"/>
        </w:rPr>
        <w:t>Americans living in urban areas.</w:t>
      </w:r>
      <w:r w:rsidR="006802CC">
        <w:rPr>
          <w:rStyle w:val="FootnoteReference"/>
          <w:rFonts w:ascii="Times New Roman" w:eastAsia="Times New Roman" w:hAnsi="Times New Roman" w:cs="Times New Roman"/>
          <w:sz w:val="24"/>
          <w:szCs w:val="24"/>
          <w:lang w:val="en-US"/>
        </w:rPr>
        <w:footnoteReference w:id="50"/>
      </w:r>
      <w:r w:rsidR="00B640A6" w:rsidRPr="00B640A6">
        <w:rPr>
          <w:rFonts w:ascii="Times New Roman" w:eastAsia="Times New Roman" w:hAnsi="Times New Roman" w:cs="Times New Roman"/>
          <w:sz w:val="24"/>
          <w:szCs w:val="24"/>
          <w:lang w:val="en-US"/>
        </w:rPr>
        <w:t xml:space="preserve"> The increased cost </w:t>
      </w:r>
      <w:r w:rsidR="00585668" w:rsidRPr="00585668">
        <w:rPr>
          <w:rFonts w:ascii="Times New Roman" w:eastAsia="Times New Roman" w:hAnsi="Times New Roman" w:cs="Times New Roman"/>
          <w:sz w:val="24"/>
          <w:szCs w:val="24"/>
          <w:lang w:val="en-US"/>
        </w:rPr>
        <w:t xml:space="preserve">for worse service plays a significant role in keeping rural Americans offline, as one of the primary </w:t>
      </w:r>
      <w:r>
        <w:rPr>
          <w:rFonts w:ascii="Times New Roman" w:eastAsia="Times New Roman" w:hAnsi="Times New Roman" w:cs="Times New Roman"/>
          <w:sz w:val="24"/>
          <w:szCs w:val="24"/>
          <w:lang w:val="en-US"/>
        </w:rPr>
        <w:t xml:space="preserve">barriers to broadband adoption </w:t>
      </w:r>
      <w:r w:rsidR="00585668" w:rsidRPr="00585668">
        <w:rPr>
          <w:rFonts w:ascii="Times New Roman" w:eastAsia="Times New Roman" w:hAnsi="Times New Roman" w:cs="Times New Roman"/>
          <w:sz w:val="24"/>
          <w:szCs w:val="24"/>
          <w:lang w:val="en-US"/>
        </w:rPr>
        <w:t>is cost.</w:t>
      </w:r>
      <w:r w:rsidR="00224AC6">
        <w:rPr>
          <w:rStyle w:val="FootnoteReference"/>
          <w:rFonts w:ascii="Times New Roman" w:eastAsia="Times New Roman" w:hAnsi="Times New Roman" w:cs="Times New Roman"/>
          <w:sz w:val="24"/>
          <w:szCs w:val="24"/>
          <w:lang w:val="en-US"/>
        </w:rPr>
        <w:footnoteReference w:id="51"/>
      </w:r>
    </w:p>
    <w:p w14:paraId="143A0344" w14:textId="0DA2BE25" w:rsidR="00585668" w:rsidRPr="00585668" w:rsidRDefault="00585668" w:rsidP="00585668">
      <w:pPr>
        <w:spacing w:line="480" w:lineRule="auto"/>
        <w:ind w:firstLine="720"/>
        <w:contextualSpacing/>
        <w:rPr>
          <w:rFonts w:ascii="Times New Roman" w:eastAsia="Times New Roman" w:hAnsi="Times New Roman" w:cs="Times New Roman"/>
          <w:sz w:val="24"/>
          <w:szCs w:val="24"/>
          <w:lang w:val="en-US"/>
        </w:rPr>
      </w:pPr>
      <w:r w:rsidRPr="00585668">
        <w:rPr>
          <w:rFonts w:ascii="Times New Roman" w:eastAsia="Times New Roman" w:hAnsi="Times New Roman" w:cs="Times New Roman"/>
          <w:sz w:val="24"/>
          <w:szCs w:val="24"/>
          <w:lang w:val="en-US"/>
        </w:rPr>
        <w:lastRenderedPageBreak/>
        <w:t>A major obstacle to bringing better access and more competition in the high-speed fixed broadband market is the cost of deployment</w:t>
      </w:r>
      <w:r w:rsidR="00040968">
        <w:rPr>
          <w:rFonts w:ascii="Times New Roman" w:eastAsia="Times New Roman" w:hAnsi="Times New Roman" w:cs="Times New Roman"/>
          <w:sz w:val="24"/>
          <w:szCs w:val="24"/>
          <w:lang w:val="en-US"/>
        </w:rPr>
        <w:t xml:space="preserve"> for ISPs</w:t>
      </w:r>
      <w:r w:rsidRPr="00585668">
        <w:rPr>
          <w:rFonts w:ascii="Times New Roman" w:eastAsia="Times New Roman" w:hAnsi="Times New Roman" w:cs="Times New Roman"/>
          <w:sz w:val="24"/>
          <w:szCs w:val="24"/>
          <w:lang w:val="en-US"/>
        </w:rPr>
        <w:t>, as fiber and other wireline technologies can be five-to-seven times or more costly and far slower to deploy in less densely-populated or topographically-challenging areas.</w:t>
      </w:r>
      <w:r>
        <w:rPr>
          <w:rStyle w:val="FootnoteReference"/>
          <w:rFonts w:ascii="Times New Roman" w:eastAsia="Times New Roman" w:hAnsi="Times New Roman" w:cs="Times New Roman"/>
          <w:sz w:val="24"/>
          <w:szCs w:val="24"/>
          <w:lang w:val="en-US"/>
        </w:rPr>
        <w:footnoteReference w:id="52"/>
      </w:r>
      <w:r w:rsidRPr="00585668">
        <w:rPr>
          <w:rFonts w:ascii="Times New Roman" w:eastAsia="Times New Roman" w:hAnsi="Times New Roman" w:cs="Times New Roman"/>
          <w:sz w:val="24"/>
          <w:szCs w:val="24"/>
          <w:lang w:val="en-US"/>
        </w:rPr>
        <w:t xml:space="preserve"> More mid-band unlicensed spectrum for point-to-multipoint (P2MP) fixed wireless, on the other hand, can serve as the public infrastructure that enables high-speed broadband in underserved areas at a fraction of the cost of fiber and other wireline technologies.  Capital costs to deploy fixed wireless systems are a fraction – about one-seventh the cost – of fiber and are still able to provide high-throughput broadband service.</w:t>
      </w:r>
      <w:r>
        <w:rPr>
          <w:rStyle w:val="FootnoteReference"/>
          <w:rFonts w:ascii="Times New Roman" w:eastAsia="Times New Roman" w:hAnsi="Times New Roman" w:cs="Times New Roman"/>
          <w:sz w:val="24"/>
          <w:szCs w:val="24"/>
          <w:lang w:val="en-US"/>
        </w:rPr>
        <w:footnoteReference w:id="53"/>
      </w:r>
      <w:r w:rsidRPr="00585668">
        <w:rPr>
          <w:rFonts w:ascii="Times New Roman" w:eastAsia="Times New Roman" w:hAnsi="Times New Roman" w:cs="Times New Roman"/>
          <w:sz w:val="24"/>
          <w:szCs w:val="24"/>
          <w:lang w:val="en-US"/>
        </w:rPr>
        <w:t xml:space="preserve">  They are also far more cost-effective per gigabyte for this purpose than mobile systems.  This comes about primarily because of their longer range through use of highly-directional client antennas (as proposed by the Coalition) that have considerable gain compared to mobile client antennas, and are mounted at a higher location above ground, typically near rooftop height.  This approach also makes efficient use of spectrum, as the directional client antennas can separate out signals from multiple base stations whose coverage may overlap on the same frequency.  </w:t>
      </w:r>
    </w:p>
    <w:p w14:paraId="79DD35F8" w14:textId="5DA7DAE5" w:rsidR="00B640A6" w:rsidRPr="00B640A6" w:rsidRDefault="00585668" w:rsidP="00585668">
      <w:pPr>
        <w:spacing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Authorizing</w:t>
      </w:r>
      <w:r w:rsidRPr="00585668">
        <w:rPr>
          <w:rFonts w:ascii="Times New Roman" w:eastAsia="Times New Roman" w:hAnsi="Times New Roman" w:cs="Times New Roman"/>
          <w:sz w:val="24"/>
          <w:szCs w:val="24"/>
          <w:lang w:val="en-US"/>
        </w:rPr>
        <w:t xml:space="preserve"> higher-power operations in the U-NII-5 and U-NII-7 bands (under AFC control) provides the opportunity to use spectrum as public infrastructure to provide high-capacity broadband at affordable prices to rural, tribal and underserved areas across the country at no cost to the U.S. Treasury.  Both PISC and the advocates of rural </w:t>
      </w:r>
      <w:r w:rsidR="00612DAA">
        <w:rPr>
          <w:rFonts w:ascii="Times New Roman" w:eastAsia="Times New Roman" w:hAnsi="Times New Roman" w:cs="Times New Roman"/>
          <w:sz w:val="24"/>
          <w:szCs w:val="24"/>
          <w:lang w:val="en-US"/>
        </w:rPr>
        <w:t>broadband advocates</w:t>
      </w:r>
      <w:r w:rsidRPr="00585668">
        <w:rPr>
          <w:rFonts w:ascii="Times New Roman" w:eastAsia="Times New Roman" w:hAnsi="Times New Roman" w:cs="Times New Roman"/>
          <w:sz w:val="24"/>
          <w:szCs w:val="24"/>
          <w:lang w:val="en-US"/>
        </w:rPr>
        <w:t xml:space="preserve"> that comprise </w:t>
      </w:r>
      <w:r w:rsidR="00612DAA">
        <w:rPr>
          <w:rFonts w:ascii="Times New Roman" w:eastAsia="Times New Roman" w:hAnsi="Times New Roman" w:cs="Times New Roman"/>
          <w:sz w:val="24"/>
          <w:szCs w:val="24"/>
          <w:lang w:val="en-US"/>
        </w:rPr>
        <w:t>the Broadband Connects America c</w:t>
      </w:r>
      <w:r w:rsidRPr="00585668">
        <w:rPr>
          <w:rFonts w:ascii="Times New Roman" w:eastAsia="Times New Roman" w:hAnsi="Times New Roman" w:cs="Times New Roman"/>
          <w:sz w:val="24"/>
          <w:szCs w:val="24"/>
          <w:lang w:val="en-US"/>
        </w:rPr>
        <w:t xml:space="preserve">oalition have observed that “[d]eploying high-throughput fixed broadband to rural and small town America does not need to depend entirely on </w:t>
      </w:r>
      <w:r w:rsidRPr="00585668">
        <w:rPr>
          <w:rFonts w:ascii="Times New Roman" w:eastAsia="Times New Roman" w:hAnsi="Times New Roman" w:cs="Times New Roman"/>
          <w:sz w:val="24"/>
          <w:szCs w:val="24"/>
          <w:lang w:val="en-US"/>
        </w:rPr>
        <w:lastRenderedPageBreak/>
        <w:t>the Connect America Fund and other subsidy programs.”</w:t>
      </w:r>
      <w:r>
        <w:rPr>
          <w:rStyle w:val="FootnoteReference"/>
          <w:rFonts w:ascii="Times New Roman" w:eastAsia="Times New Roman" w:hAnsi="Times New Roman" w:cs="Times New Roman"/>
          <w:sz w:val="24"/>
          <w:szCs w:val="24"/>
          <w:lang w:val="en-US"/>
        </w:rPr>
        <w:footnoteReference w:id="54"/>
      </w:r>
      <w:r w:rsidRPr="00585668">
        <w:rPr>
          <w:rFonts w:ascii="Times New Roman" w:eastAsia="Times New Roman" w:hAnsi="Times New Roman" w:cs="Times New Roman"/>
          <w:sz w:val="24"/>
          <w:szCs w:val="24"/>
          <w:lang w:val="en-US"/>
        </w:rPr>
        <w:t xml:space="preserve"> Fiber-based solutions cannot be built without substantial public subsidies in areas where population density is low.  This makes access to unused mid-band spectrum capacity for high</w:t>
      </w:r>
      <w:r w:rsidR="00612DAA">
        <w:rPr>
          <w:rFonts w:ascii="Times New Roman" w:eastAsia="Times New Roman" w:hAnsi="Times New Roman" w:cs="Times New Roman"/>
          <w:sz w:val="24"/>
          <w:szCs w:val="24"/>
          <w:lang w:val="en-US"/>
        </w:rPr>
        <w:t xml:space="preserve"> </w:t>
      </w:r>
      <w:r w:rsidRPr="00585668">
        <w:rPr>
          <w:rFonts w:ascii="Times New Roman" w:eastAsia="Times New Roman" w:hAnsi="Times New Roman" w:cs="Times New Roman"/>
          <w:sz w:val="24"/>
          <w:szCs w:val="24"/>
          <w:lang w:val="en-US"/>
        </w:rPr>
        <w:t>throughput and affordable fixed broadband service an essential tool for bridging the rural and underserved broadband gap.</w:t>
      </w:r>
    </w:p>
    <w:p w14:paraId="76F61B49" w14:textId="77777777" w:rsidR="001917A1" w:rsidRDefault="001917A1" w:rsidP="001917A1">
      <w:pPr>
        <w:pStyle w:val="ListParagraph"/>
        <w:spacing w:line="264" w:lineRule="auto"/>
        <w:rPr>
          <w:rFonts w:ascii="Times New Roman" w:eastAsia="Times New Roman" w:hAnsi="Times New Roman" w:cs="Times New Roman"/>
          <w:b/>
          <w:sz w:val="24"/>
          <w:szCs w:val="24"/>
        </w:rPr>
      </w:pPr>
    </w:p>
    <w:p w14:paraId="757F130B" w14:textId="25AAA4AA" w:rsidR="001917A1" w:rsidRPr="007776AD" w:rsidRDefault="001917A1" w:rsidP="0029785C">
      <w:pPr>
        <w:pStyle w:val="Heading1"/>
        <w:numPr>
          <w:ilvl w:val="0"/>
          <w:numId w:val="4"/>
        </w:numPr>
        <w:rPr>
          <w:rFonts w:ascii="Times New Roman" w:hAnsi="Times New Roman" w:cs="Times New Roman"/>
          <w:b/>
          <w:sz w:val="24"/>
          <w:szCs w:val="24"/>
        </w:rPr>
      </w:pPr>
      <w:bookmarkStart w:id="4" w:name="_Toc44320730"/>
      <w:r w:rsidRPr="007776AD">
        <w:rPr>
          <w:rFonts w:ascii="Times New Roman" w:hAnsi="Times New Roman" w:cs="Times New Roman"/>
          <w:b/>
          <w:sz w:val="24"/>
          <w:szCs w:val="24"/>
        </w:rPr>
        <w:t xml:space="preserve">The Commission Should Authorize </w:t>
      </w:r>
      <w:r w:rsidR="00FB3B43" w:rsidRPr="007776AD">
        <w:rPr>
          <w:rFonts w:ascii="Times New Roman" w:hAnsi="Times New Roman" w:cs="Times New Roman"/>
          <w:b/>
          <w:sz w:val="24"/>
          <w:szCs w:val="24"/>
        </w:rPr>
        <w:t xml:space="preserve">Mobile </w:t>
      </w:r>
      <w:r w:rsidRPr="007776AD">
        <w:rPr>
          <w:rFonts w:ascii="Times New Roman" w:hAnsi="Times New Roman" w:cs="Times New Roman"/>
          <w:b/>
          <w:sz w:val="24"/>
          <w:szCs w:val="24"/>
        </w:rPr>
        <w:t>Standard-Power Access Points Under AFC C</w:t>
      </w:r>
      <w:r w:rsidR="00FB3B43" w:rsidRPr="007776AD">
        <w:rPr>
          <w:rFonts w:ascii="Times New Roman" w:hAnsi="Times New Roman" w:cs="Times New Roman"/>
          <w:b/>
          <w:sz w:val="24"/>
          <w:szCs w:val="24"/>
        </w:rPr>
        <w:t>ontrol in the U-NII-5 and U-NII-7 Bands</w:t>
      </w:r>
      <w:bookmarkEnd w:id="4"/>
    </w:p>
    <w:p w14:paraId="270A7838" w14:textId="77777777" w:rsidR="001917A1" w:rsidRPr="00D57D5D" w:rsidRDefault="001917A1" w:rsidP="001917A1">
      <w:pPr>
        <w:pStyle w:val="ListParagraph"/>
        <w:rPr>
          <w:rFonts w:ascii="Times New Roman" w:eastAsia="Times New Roman" w:hAnsi="Times New Roman" w:cs="Times New Roman"/>
          <w:b/>
          <w:sz w:val="24"/>
          <w:szCs w:val="24"/>
        </w:rPr>
      </w:pPr>
    </w:p>
    <w:p w14:paraId="57B2D37C" w14:textId="3CF417C7" w:rsidR="001917A1" w:rsidRDefault="00FB3B43" w:rsidP="001917A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PISC fully supported the Commission’s world-leading decision </w:t>
      </w:r>
      <w:r w:rsidR="00BF688F">
        <w:rPr>
          <w:rFonts w:ascii="Times New Roman" w:eastAsia="Times New Roman" w:hAnsi="Times New Roman" w:cs="Times New Roman"/>
          <w:sz w:val="24"/>
          <w:szCs w:val="24"/>
        </w:rPr>
        <w:t xml:space="preserve">in April </w:t>
      </w:r>
      <w:r>
        <w:rPr>
          <w:rFonts w:ascii="Times New Roman" w:eastAsia="Times New Roman" w:hAnsi="Times New Roman" w:cs="Times New Roman"/>
          <w:sz w:val="24"/>
          <w:szCs w:val="24"/>
        </w:rPr>
        <w:t xml:space="preserve">to authorize unlicensed users to operate both indoors and outdoors at standard power under the control of a certified Automated Frequency Coordination </w:t>
      </w:r>
      <w:r w:rsidR="00BF688F">
        <w:rPr>
          <w:rFonts w:ascii="Times New Roman" w:eastAsia="Times New Roman" w:hAnsi="Times New Roman" w:cs="Times New Roman"/>
          <w:sz w:val="24"/>
          <w:szCs w:val="24"/>
        </w:rPr>
        <w:t xml:space="preserve">(“AFC”) </w:t>
      </w:r>
      <w:r>
        <w:rPr>
          <w:rFonts w:ascii="Times New Roman" w:eastAsia="Times New Roman" w:hAnsi="Times New Roman" w:cs="Times New Roman"/>
          <w:sz w:val="24"/>
          <w:szCs w:val="24"/>
        </w:rPr>
        <w:t>system.</w:t>
      </w:r>
      <w:r>
        <w:rPr>
          <w:rStyle w:val="FootnoteReference"/>
          <w:rFonts w:ascii="Times New Roman" w:eastAsia="Times New Roman" w:hAnsi="Times New Roman" w:cs="Times New Roman"/>
          <w:sz w:val="24"/>
          <w:szCs w:val="24"/>
        </w:rPr>
        <w:footnoteReference w:id="55"/>
      </w:r>
      <w:r>
        <w:rPr>
          <w:rFonts w:ascii="Times New Roman" w:eastAsia="Times New Roman" w:hAnsi="Times New Roman" w:cs="Times New Roman"/>
          <w:sz w:val="24"/>
          <w:szCs w:val="24"/>
        </w:rPr>
        <w:t xml:space="preserve"> As a result, American consumers and enterprise are likely to yield the benefits of the world’s best Wi-Fi networks – and, in turn, the world’s most robust 5G wireless ecosystem. This happy result is, in part, a byproduct of the FCC’s leadership in authorizing advanced spectrum coordination technologies over the past decade, including most notably the TV White Spaces geolocation database and the Spectrum Access Systems that recently began successfully coordinating shared use of the 3.5 GHz band while fully protecting U.S. Navy radar and other incumbent users.</w:t>
      </w:r>
      <w:r w:rsidR="00D012E5">
        <w:rPr>
          <w:rFonts w:ascii="Times New Roman" w:eastAsia="Times New Roman" w:hAnsi="Times New Roman" w:cs="Times New Roman"/>
          <w:sz w:val="24"/>
          <w:szCs w:val="24"/>
        </w:rPr>
        <w:t xml:space="preserve"> </w:t>
      </w:r>
    </w:p>
    <w:p w14:paraId="6FDBBCA3" w14:textId="77777777" w:rsidR="00D012E5" w:rsidRDefault="00FB3B43" w:rsidP="001917A1">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In one respect, however, the </w:t>
      </w:r>
      <w:r w:rsidRPr="00F04591">
        <w:rPr>
          <w:rFonts w:ascii="Times New Roman" w:eastAsia="Times New Roman" w:hAnsi="Times New Roman" w:cs="Times New Roman"/>
          <w:i/>
          <w:sz w:val="24"/>
          <w:szCs w:val="24"/>
        </w:rPr>
        <w:t xml:space="preserve">Report and Order </w:t>
      </w:r>
      <w:r w:rsidRPr="00F04591">
        <w:rPr>
          <w:rFonts w:ascii="Times New Roman" w:eastAsia="Times New Roman" w:hAnsi="Times New Roman" w:cs="Times New Roman"/>
          <w:sz w:val="24"/>
          <w:szCs w:val="24"/>
        </w:rPr>
        <w:t xml:space="preserve">fell short of leveraging the proven capabilities of automated frequency coordination by limiting outdoor use at </w:t>
      </w:r>
      <w:r w:rsidR="00521878">
        <w:rPr>
          <w:rFonts w:ascii="Times New Roman" w:eastAsia="Times New Roman" w:hAnsi="Times New Roman" w:cs="Times New Roman"/>
          <w:sz w:val="24"/>
          <w:szCs w:val="24"/>
        </w:rPr>
        <w:t xml:space="preserve">power levels </w:t>
      </w:r>
      <w:r w:rsidRPr="00F04591">
        <w:rPr>
          <w:rFonts w:ascii="Times New Roman" w:eastAsia="Times New Roman" w:hAnsi="Times New Roman" w:cs="Times New Roman"/>
          <w:sz w:val="24"/>
          <w:szCs w:val="24"/>
        </w:rPr>
        <w:t xml:space="preserve">up to </w:t>
      </w:r>
      <w:r w:rsidRPr="00F04591">
        <w:rPr>
          <w:rFonts w:ascii="Times New Roman" w:eastAsia="Times New Roman" w:hAnsi="Times New Roman" w:cs="Times New Roman"/>
          <w:sz w:val="24"/>
          <w:szCs w:val="24"/>
        </w:rPr>
        <w:lastRenderedPageBreak/>
        <w:t xml:space="preserve">36 dBm EIRP to completely </w:t>
      </w:r>
      <w:r w:rsidRPr="00F04591">
        <w:rPr>
          <w:rFonts w:ascii="Times New Roman" w:eastAsia="Times New Roman" w:hAnsi="Times New Roman" w:cs="Times New Roman"/>
          <w:i/>
          <w:sz w:val="24"/>
          <w:szCs w:val="24"/>
        </w:rPr>
        <w:t>fixed</w:t>
      </w:r>
      <w:r w:rsidRPr="00F04591">
        <w:rPr>
          <w:rFonts w:ascii="Times New Roman" w:eastAsia="Times New Roman" w:hAnsi="Times New Roman" w:cs="Times New Roman"/>
          <w:sz w:val="24"/>
          <w:szCs w:val="24"/>
        </w:rPr>
        <w:t xml:space="preserve"> access points. The </w:t>
      </w:r>
      <w:r w:rsidRPr="00F04591">
        <w:rPr>
          <w:rFonts w:ascii="Times New Roman" w:eastAsia="Times New Roman" w:hAnsi="Times New Roman" w:cs="Times New Roman"/>
          <w:i/>
          <w:sz w:val="24"/>
          <w:szCs w:val="24"/>
        </w:rPr>
        <w:t xml:space="preserve">FNPRM </w:t>
      </w:r>
      <w:r w:rsidR="00F04591">
        <w:rPr>
          <w:rFonts w:ascii="Times New Roman" w:hAnsi="Times New Roman" w:cs="Times New Roman"/>
          <w:sz w:val="24"/>
          <w:szCs w:val="24"/>
        </w:rPr>
        <w:t>asks whether the Commission should go further and authorize</w:t>
      </w:r>
      <w:r w:rsidR="00F04591" w:rsidRPr="00F04591">
        <w:rPr>
          <w:rFonts w:ascii="Times New Roman" w:hAnsi="Times New Roman" w:cs="Times New Roman"/>
          <w:sz w:val="24"/>
          <w:szCs w:val="24"/>
        </w:rPr>
        <w:t xml:space="preserve"> standard-power access points, under AFC control, </w:t>
      </w:r>
      <w:r w:rsidR="00F04591">
        <w:rPr>
          <w:rFonts w:ascii="Times New Roman" w:hAnsi="Times New Roman" w:cs="Times New Roman"/>
          <w:sz w:val="24"/>
          <w:szCs w:val="24"/>
        </w:rPr>
        <w:t>for</w:t>
      </w:r>
      <w:r w:rsidR="00F04591" w:rsidRPr="00F04591">
        <w:rPr>
          <w:rFonts w:ascii="Times New Roman" w:hAnsi="Times New Roman" w:cs="Times New Roman"/>
          <w:sz w:val="24"/>
          <w:szCs w:val="24"/>
        </w:rPr>
        <w:t xml:space="preserve"> mobile applications under rules similar to those</w:t>
      </w:r>
      <w:r w:rsidR="00F04591">
        <w:rPr>
          <w:rFonts w:ascii="Times New Roman" w:hAnsi="Times New Roman" w:cs="Times New Roman"/>
          <w:sz w:val="24"/>
          <w:szCs w:val="24"/>
        </w:rPr>
        <w:t xml:space="preserve"> the Commission has proposed</w:t>
      </w:r>
      <w:r w:rsidR="00F04591" w:rsidRPr="00F04591">
        <w:rPr>
          <w:rFonts w:ascii="Times New Roman" w:hAnsi="Times New Roman" w:cs="Times New Roman"/>
          <w:sz w:val="24"/>
          <w:szCs w:val="24"/>
        </w:rPr>
        <w:t xml:space="preserve"> for personal/portable </w:t>
      </w:r>
      <w:r w:rsidR="009C2245">
        <w:rPr>
          <w:rFonts w:ascii="Times New Roman" w:hAnsi="Times New Roman" w:cs="Times New Roman"/>
          <w:sz w:val="24"/>
          <w:szCs w:val="24"/>
        </w:rPr>
        <w:t xml:space="preserve">TV </w:t>
      </w:r>
      <w:r w:rsidR="00F04591" w:rsidRPr="00F04591">
        <w:rPr>
          <w:rFonts w:ascii="Times New Roman" w:hAnsi="Times New Roman" w:cs="Times New Roman"/>
          <w:sz w:val="24"/>
          <w:szCs w:val="24"/>
        </w:rPr>
        <w:t xml:space="preserve">white space </w:t>
      </w:r>
      <w:r w:rsidR="009C2245">
        <w:rPr>
          <w:rFonts w:ascii="Times New Roman" w:hAnsi="Times New Roman" w:cs="Times New Roman"/>
          <w:sz w:val="24"/>
          <w:szCs w:val="24"/>
        </w:rPr>
        <w:t>devices (“WSD</w:t>
      </w:r>
      <w:r w:rsidR="00F04591">
        <w:rPr>
          <w:rFonts w:ascii="Times New Roman" w:hAnsi="Times New Roman" w:cs="Times New Roman"/>
          <w:sz w:val="24"/>
          <w:szCs w:val="24"/>
        </w:rPr>
        <w:t>s</w:t>
      </w:r>
      <w:r w:rsidR="00F04591" w:rsidRPr="00F04591">
        <w:rPr>
          <w:rFonts w:ascii="Times New Roman" w:hAnsi="Times New Roman" w:cs="Times New Roman"/>
          <w:sz w:val="24"/>
          <w:szCs w:val="24"/>
        </w:rPr>
        <w:t>”)</w:t>
      </w:r>
      <w:r w:rsidR="00F04591">
        <w:rPr>
          <w:rFonts w:ascii="Times New Roman" w:hAnsi="Times New Roman" w:cs="Times New Roman"/>
          <w:sz w:val="24"/>
          <w:szCs w:val="24"/>
        </w:rPr>
        <w:t>.</w:t>
      </w:r>
      <w:r w:rsidR="009C2245">
        <w:rPr>
          <w:rFonts w:ascii="Times New Roman" w:hAnsi="Times New Roman" w:cs="Times New Roman"/>
          <w:sz w:val="24"/>
          <w:szCs w:val="24"/>
        </w:rPr>
        <w:t xml:space="preserve"> PISC believes the answer is an unqualified yes. </w:t>
      </w:r>
    </w:p>
    <w:p w14:paraId="655E4E7B" w14:textId="4F43FA79" w:rsidR="00FB3B43" w:rsidRDefault="009C2245" w:rsidP="00D012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PISC</w:t>
      </w:r>
      <w:r w:rsidR="00D012E5">
        <w:rPr>
          <w:rFonts w:ascii="Times New Roman" w:hAnsi="Times New Roman" w:cs="Times New Roman"/>
          <w:sz w:val="24"/>
          <w:szCs w:val="24"/>
        </w:rPr>
        <w:t xml:space="preserve"> recently</w:t>
      </w:r>
      <w:r>
        <w:rPr>
          <w:rFonts w:ascii="Times New Roman" w:hAnsi="Times New Roman" w:cs="Times New Roman"/>
          <w:sz w:val="24"/>
          <w:szCs w:val="24"/>
        </w:rPr>
        <w:t xml:space="preserve"> filed comments and reply comments </w:t>
      </w:r>
      <w:r w:rsidR="00EB504D">
        <w:rPr>
          <w:rFonts w:ascii="Times New Roman" w:hAnsi="Times New Roman" w:cs="Times New Roman"/>
          <w:sz w:val="24"/>
          <w:szCs w:val="24"/>
        </w:rPr>
        <w:t>stating our</w:t>
      </w:r>
      <w:r>
        <w:rPr>
          <w:rFonts w:ascii="Times New Roman" w:hAnsi="Times New Roman" w:cs="Times New Roman"/>
          <w:sz w:val="24"/>
          <w:szCs w:val="24"/>
        </w:rPr>
        <w:t xml:space="preserve"> strong support for </w:t>
      </w:r>
      <w:r w:rsidR="00D012E5">
        <w:rPr>
          <w:rFonts w:ascii="Times New Roman" w:hAnsi="Times New Roman" w:cs="Times New Roman"/>
          <w:sz w:val="24"/>
          <w:szCs w:val="24"/>
        </w:rPr>
        <w:t xml:space="preserve">the Commission’s proposal </w:t>
      </w:r>
      <w:r w:rsidR="00D012E5">
        <w:rPr>
          <w:rFonts w:ascii="Times New Roman" w:eastAsia="Times New Roman" w:hAnsi="Times New Roman" w:cs="Times New Roman"/>
          <w:sz w:val="24"/>
          <w:szCs w:val="24"/>
        </w:rPr>
        <w:t>to allow WSDs “</w:t>
      </w:r>
      <w:r w:rsidR="00D012E5" w:rsidRPr="008F43EB">
        <w:rPr>
          <w:rFonts w:ascii="Times New Roman" w:eastAsia="Times New Roman" w:hAnsi="Times New Roman" w:cs="Times New Roman"/>
          <w:sz w:val="24"/>
          <w:szCs w:val="24"/>
          <w:lang w:val="en-US"/>
        </w:rPr>
        <w:t>to operate on TV Channels 2-35 on mobile</w:t>
      </w:r>
      <w:r w:rsidR="00D012E5">
        <w:rPr>
          <w:rFonts w:ascii="Times New Roman" w:eastAsia="Times New Roman" w:hAnsi="Times New Roman" w:cs="Times New Roman"/>
          <w:sz w:val="24"/>
          <w:szCs w:val="24"/>
          <w:lang w:val="en-US"/>
        </w:rPr>
        <w:t xml:space="preserve"> </w:t>
      </w:r>
      <w:r w:rsidR="00D012E5" w:rsidRPr="008F43EB">
        <w:rPr>
          <w:rFonts w:ascii="Times New Roman" w:eastAsia="Times New Roman" w:hAnsi="Times New Roman" w:cs="Times New Roman"/>
          <w:sz w:val="24"/>
          <w:szCs w:val="24"/>
          <w:lang w:val="en-US"/>
        </w:rPr>
        <w:t>platforms within geo-fenced areas at higher power levels than the rules currently permit for portable</w:t>
      </w:r>
      <w:r w:rsidR="00D012E5">
        <w:rPr>
          <w:rFonts w:ascii="Times New Roman" w:eastAsia="Times New Roman" w:hAnsi="Times New Roman" w:cs="Times New Roman"/>
          <w:sz w:val="24"/>
          <w:szCs w:val="24"/>
          <w:lang w:val="en-US"/>
        </w:rPr>
        <w:t xml:space="preserve"> </w:t>
      </w:r>
      <w:r w:rsidR="00D012E5" w:rsidRPr="008F43EB">
        <w:rPr>
          <w:rFonts w:ascii="Times New Roman" w:eastAsia="Times New Roman" w:hAnsi="Times New Roman" w:cs="Times New Roman"/>
          <w:sz w:val="24"/>
          <w:szCs w:val="24"/>
          <w:lang w:val="en-US"/>
        </w:rPr>
        <w:t>dev</w:t>
      </w:r>
      <w:r w:rsidR="00D012E5">
        <w:rPr>
          <w:rFonts w:ascii="Times New Roman" w:eastAsia="Times New Roman" w:hAnsi="Times New Roman" w:cs="Times New Roman"/>
          <w:sz w:val="24"/>
          <w:szCs w:val="24"/>
          <w:lang w:val="en-US"/>
        </w:rPr>
        <w:t>ices, . . ..</w:t>
      </w:r>
      <w:r w:rsidR="00D012E5">
        <w:rPr>
          <w:rStyle w:val="FootnoteReference"/>
          <w:rFonts w:ascii="Times New Roman" w:eastAsia="Times New Roman" w:hAnsi="Times New Roman" w:cs="Times New Roman"/>
          <w:sz w:val="24"/>
          <w:szCs w:val="24"/>
          <w:lang w:val="en-US"/>
        </w:rPr>
        <w:footnoteReference w:id="56"/>
      </w:r>
      <w:r w:rsidR="00D012E5">
        <w:rPr>
          <w:rFonts w:ascii="Times New Roman" w:eastAsia="Times New Roman" w:hAnsi="Times New Roman" w:cs="Times New Roman"/>
          <w:sz w:val="24"/>
          <w:szCs w:val="24"/>
          <w:lang w:val="en-US"/>
        </w:rPr>
        <w:t xml:space="preserve"> We agreed that updating the TVWS technical rules in this regard will </w:t>
      </w:r>
      <w:r>
        <w:rPr>
          <w:rFonts w:ascii="Times New Roman" w:hAnsi="Times New Roman" w:cs="Times New Roman"/>
          <w:sz w:val="24"/>
          <w:szCs w:val="24"/>
        </w:rPr>
        <w:t>per</w:t>
      </w:r>
      <w:r w:rsidR="00D012E5">
        <w:rPr>
          <w:rFonts w:ascii="Times New Roman" w:hAnsi="Times New Roman" w:cs="Times New Roman"/>
          <w:sz w:val="24"/>
          <w:szCs w:val="24"/>
        </w:rPr>
        <w:t>mit</w:t>
      </w:r>
      <w:r>
        <w:rPr>
          <w:rFonts w:ascii="Times New Roman" w:hAnsi="Times New Roman" w:cs="Times New Roman"/>
          <w:sz w:val="24"/>
          <w:szCs w:val="24"/>
        </w:rPr>
        <w:t xml:space="preserve"> mobile platforms (e.g., school buses, farm equipment) to operate on unlicensed TV White Space spectrum at the same power level as o</w:t>
      </w:r>
      <w:r w:rsidR="00D012E5">
        <w:rPr>
          <w:rFonts w:ascii="Times New Roman" w:hAnsi="Times New Roman" w:cs="Times New Roman"/>
          <w:sz w:val="24"/>
          <w:szCs w:val="24"/>
        </w:rPr>
        <w:t>ther fi</w:t>
      </w:r>
      <w:r>
        <w:rPr>
          <w:rFonts w:ascii="Times New Roman" w:hAnsi="Times New Roman" w:cs="Times New Roman"/>
          <w:sz w:val="24"/>
          <w:szCs w:val="24"/>
        </w:rPr>
        <w:t>xed WSDs.</w:t>
      </w:r>
      <w:r w:rsidR="00D012E5">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D012E5">
        <w:rPr>
          <w:rFonts w:ascii="Times New Roman" w:hAnsi="Times New Roman" w:cs="Times New Roman"/>
          <w:sz w:val="24"/>
          <w:szCs w:val="24"/>
        </w:rPr>
        <w:t>The Commission’s proposal to allow TV White Space Databases to calculate areas in which WSDs can operate at full power is in part a product of the Commission’s successful experience with geolocation database control over personal/portable devices that are authorized to operate on TVWS frequencies while protecting the co-channel operation of both local TV stations and (in some markets) public safety operations.</w:t>
      </w:r>
      <w:r w:rsidR="00D012E5">
        <w:rPr>
          <w:rStyle w:val="FootnoteReference"/>
          <w:rFonts w:ascii="Times New Roman" w:hAnsi="Times New Roman" w:cs="Times New Roman"/>
          <w:sz w:val="24"/>
          <w:szCs w:val="24"/>
        </w:rPr>
        <w:footnoteReference w:id="58"/>
      </w:r>
      <w:r w:rsidR="00D012E5">
        <w:rPr>
          <w:rFonts w:ascii="Times New Roman" w:hAnsi="Times New Roman" w:cs="Times New Roman"/>
          <w:sz w:val="24"/>
          <w:szCs w:val="24"/>
        </w:rPr>
        <w:t xml:space="preserve"> </w:t>
      </w:r>
      <w:r>
        <w:rPr>
          <w:rFonts w:ascii="Times New Roman" w:hAnsi="Times New Roman" w:cs="Times New Roman"/>
          <w:sz w:val="24"/>
          <w:szCs w:val="24"/>
        </w:rPr>
        <w:t xml:space="preserve">If anything, we believe that because </w:t>
      </w:r>
      <w:r w:rsidR="00BD13A4">
        <w:rPr>
          <w:rFonts w:ascii="Times New Roman" w:hAnsi="Times New Roman" w:cs="Times New Roman"/>
          <w:sz w:val="24"/>
          <w:szCs w:val="24"/>
        </w:rPr>
        <w:t xml:space="preserve">licensed </w:t>
      </w:r>
      <w:r>
        <w:rPr>
          <w:rFonts w:ascii="Times New Roman" w:hAnsi="Times New Roman" w:cs="Times New Roman"/>
          <w:sz w:val="24"/>
          <w:szCs w:val="24"/>
        </w:rPr>
        <w:t>fixed links are point-to-point,</w:t>
      </w:r>
      <w:r w:rsidR="00D012E5">
        <w:rPr>
          <w:rFonts w:ascii="Times New Roman" w:hAnsi="Times New Roman" w:cs="Times New Roman"/>
          <w:sz w:val="24"/>
          <w:szCs w:val="24"/>
        </w:rPr>
        <w:t xml:space="preserve"> and the location of </w:t>
      </w:r>
      <w:r w:rsidR="00BD13A4">
        <w:rPr>
          <w:rFonts w:ascii="Times New Roman" w:hAnsi="Times New Roman" w:cs="Times New Roman"/>
          <w:sz w:val="24"/>
          <w:szCs w:val="24"/>
        </w:rPr>
        <w:t xml:space="preserve">incumbent </w:t>
      </w:r>
      <w:r w:rsidR="00D012E5">
        <w:rPr>
          <w:rFonts w:ascii="Times New Roman" w:hAnsi="Times New Roman" w:cs="Times New Roman"/>
          <w:sz w:val="24"/>
          <w:szCs w:val="24"/>
        </w:rPr>
        <w:t>receivers is precisely known,</w:t>
      </w:r>
      <w:r>
        <w:rPr>
          <w:rFonts w:ascii="Times New Roman" w:hAnsi="Times New Roman" w:cs="Times New Roman"/>
          <w:sz w:val="24"/>
          <w:szCs w:val="24"/>
        </w:rPr>
        <w:t xml:space="preserve"> it should be far more straightforward for AFCs to calculate a geofenced area in which a mobile access point can operate on a mobile platform at a maximum power level of </w:t>
      </w:r>
      <w:r w:rsidR="00BD13A4">
        <w:rPr>
          <w:rFonts w:ascii="Times New Roman" w:hAnsi="Times New Roman" w:cs="Times New Roman"/>
          <w:sz w:val="24"/>
          <w:szCs w:val="24"/>
        </w:rPr>
        <w:t xml:space="preserve">up to </w:t>
      </w:r>
      <w:r>
        <w:rPr>
          <w:rFonts w:ascii="Times New Roman" w:hAnsi="Times New Roman" w:cs="Times New Roman"/>
          <w:sz w:val="24"/>
          <w:szCs w:val="24"/>
        </w:rPr>
        <w:t>36 dBm EIRP.</w:t>
      </w:r>
    </w:p>
    <w:p w14:paraId="52197EE0" w14:textId="4E2B6C6A" w:rsidR="00386DC9" w:rsidRDefault="00521878" w:rsidP="001917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There is little doubt </w:t>
      </w:r>
      <w:r w:rsidR="005B60CC">
        <w:rPr>
          <w:rFonts w:ascii="Times New Roman" w:hAnsi="Times New Roman" w:cs="Times New Roman"/>
          <w:sz w:val="24"/>
          <w:szCs w:val="24"/>
        </w:rPr>
        <w:t xml:space="preserve">that the use cases for mobile applications will greatly benefit consumers and the economy. </w:t>
      </w:r>
      <w:r w:rsidR="0070766C">
        <w:rPr>
          <w:rFonts w:ascii="Times New Roman" w:hAnsi="Times New Roman" w:cs="Times New Roman"/>
          <w:sz w:val="24"/>
          <w:szCs w:val="24"/>
        </w:rPr>
        <w:t xml:space="preserve">As the Commission has repeatedly experienced with unlicensed spectrum and Wi-Fi, opening the door to innovation will always yield far greater benefits than our feeble imaginations can articulate today. Nevertheless, many </w:t>
      </w:r>
      <w:r w:rsidR="00072156">
        <w:rPr>
          <w:rFonts w:ascii="Times New Roman" w:hAnsi="Times New Roman" w:cs="Times New Roman"/>
          <w:sz w:val="24"/>
          <w:szCs w:val="24"/>
        </w:rPr>
        <w:t xml:space="preserve">use cases </w:t>
      </w:r>
      <w:r w:rsidR="0070766C">
        <w:rPr>
          <w:rFonts w:ascii="Times New Roman" w:hAnsi="Times New Roman" w:cs="Times New Roman"/>
          <w:sz w:val="24"/>
          <w:szCs w:val="24"/>
        </w:rPr>
        <w:t xml:space="preserve">are quite evident. For example, </w:t>
      </w:r>
      <w:r w:rsidR="007F1C22">
        <w:rPr>
          <w:rFonts w:ascii="Times New Roman" w:hAnsi="Times New Roman" w:cs="Times New Roman"/>
          <w:sz w:val="24"/>
          <w:szCs w:val="24"/>
        </w:rPr>
        <w:t>thousands of public tran</w:t>
      </w:r>
      <w:r w:rsidR="006423D9">
        <w:rPr>
          <w:rFonts w:ascii="Times New Roman" w:hAnsi="Times New Roman" w:cs="Times New Roman"/>
          <w:sz w:val="24"/>
          <w:szCs w:val="24"/>
        </w:rPr>
        <w:t>s</w:t>
      </w:r>
      <w:r w:rsidR="007F1C22">
        <w:rPr>
          <w:rFonts w:ascii="Times New Roman" w:hAnsi="Times New Roman" w:cs="Times New Roman"/>
          <w:sz w:val="24"/>
          <w:szCs w:val="24"/>
        </w:rPr>
        <w:t xml:space="preserve">portation systems can give their customers access to a higher-capacity RLAN along a pre-planned route, or within certain pre-cleared areas. These include school </w:t>
      </w:r>
      <w:r w:rsidR="00AF2FD8">
        <w:rPr>
          <w:rFonts w:ascii="Times New Roman" w:hAnsi="Times New Roman" w:cs="Times New Roman"/>
          <w:sz w:val="24"/>
          <w:szCs w:val="24"/>
        </w:rPr>
        <w:t xml:space="preserve">buses </w:t>
      </w:r>
      <w:r w:rsidR="007F1C22">
        <w:rPr>
          <w:rFonts w:ascii="Times New Roman" w:hAnsi="Times New Roman" w:cs="Times New Roman"/>
          <w:sz w:val="24"/>
          <w:szCs w:val="24"/>
        </w:rPr>
        <w:t xml:space="preserve">and public buses, </w:t>
      </w:r>
      <w:r w:rsidR="00AF2FD8">
        <w:rPr>
          <w:rFonts w:ascii="Times New Roman" w:hAnsi="Times New Roman" w:cs="Times New Roman"/>
          <w:sz w:val="24"/>
          <w:szCs w:val="24"/>
        </w:rPr>
        <w:t xml:space="preserve">commuter </w:t>
      </w:r>
      <w:r w:rsidR="007F1C22">
        <w:rPr>
          <w:rFonts w:ascii="Times New Roman" w:hAnsi="Times New Roman" w:cs="Times New Roman"/>
          <w:sz w:val="24"/>
          <w:szCs w:val="24"/>
        </w:rPr>
        <w:t>tra</w:t>
      </w:r>
      <w:r w:rsidR="00AF2FD8">
        <w:rPr>
          <w:rFonts w:ascii="Times New Roman" w:hAnsi="Times New Roman" w:cs="Times New Roman"/>
          <w:sz w:val="24"/>
          <w:szCs w:val="24"/>
        </w:rPr>
        <w:t>ins and</w:t>
      </w:r>
      <w:r w:rsidR="007F1C22">
        <w:rPr>
          <w:rFonts w:ascii="Times New Roman" w:hAnsi="Times New Roman" w:cs="Times New Roman"/>
          <w:sz w:val="24"/>
          <w:szCs w:val="24"/>
        </w:rPr>
        <w:t xml:space="preserve"> inter-city rail, ferry services and </w:t>
      </w:r>
      <w:r w:rsidR="00AF2FD8">
        <w:rPr>
          <w:rFonts w:ascii="Times New Roman" w:hAnsi="Times New Roman" w:cs="Times New Roman"/>
          <w:sz w:val="24"/>
          <w:szCs w:val="24"/>
        </w:rPr>
        <w:t xml:space="preserve">campus </w:t>
      </w:r>
      <w:r w:rsidR="007F1C22">
        <w:rPr>
          <w:rFonts w:ascii="Times New Roman" w:hAnsi="Times New Roman" w:cs="Times New Roman"/>
          <w:sz w:val="24"/>
          <w:szCs w:val="24"/>
        </w:rPr>
        <w:t xml:space="preserve">shuttles. Taking this further, </w:t>
      </w:r>
      <w:r w:rsidR="0070766C">
        <w:rPr>
          <w:rFonts w:ascii="Times New Roman" w:hAnsi="Times New Roman" w:cs="Times New Roman"/>
          <w:sz w:val="24"/>
          <w:szCs w:val="24"/>
        </w:rPr>
        <w:t>a train, or a convoy of autonomous trucks on a highway, should not need to mount a separate access point on each train car or individual truck when one AP – connected to a mobile 5G carrier –</w:t>
      </w:r>
      <w:r w:rsidR="007F1C22">
        <w:rPr>
          <w:rFonts w:ascii="Times New Roman" w:hAnsi="Times New Roman" w:cs="Times New Roman"/>
          <w:sz w:val="24"/>
          <w:szCs w:val="24"/>
        </w:rPr>
        <w:t xml:space="preserve"> can</w:t>
      </w:r>
      <w:r w:rsidR="0070766C">
        <w:rPr>
          <w:rFonts w:ascii="Times New Roman" w:hAnsi="Times New Roman" w:cs="Times New Roman"/>
          <w:sz w:val="24"/>
          <w:szCs w:val="24"/>
        </w:rPr>
        <w:t xml:space="preserve"> generate a roving RLAN that shares connectivity among the component cars or trucks. </w:t>
      </w:r>
    </w:p>
    <w:p w14:paraId="4188E212" w14:textId="36377968" w:rsidR="00521878" w:rsidRDefault="0070766C" w:rsidP="001917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same </w:t>
      </w:r>
      <w:r w:rsidR="00386DC9">
        <w:rPr>
          <w:rFonts w:ascii="Times New Roman" w:hAnsi="Times New Roman" w:cs="Times New Roman"/>
          <w:sz w:val="24"/>
          <w:szCs w:val="24"/>
        </w:rPr>
        <w:t xml:space="preserve">productivity boost </w:t>
      </w:r>
      <w:r>
        <w:rPr>
          <w:rFonts w:ascii="Times New Roman" w:hAnsi="Times New Roman" w:cs="Times New Roman"/>
          <w:sz w:val="24"/>
          <w:szCs w:val="24"/>
        </w:rPr>
        <w:t xml:space="preserve">could be </w:t>
      </w:r>
      <w:r w:rsidR="00386DC9">
        <w:rPr>
          <w:rFonts w:ascii="Times New Roman" w:hAnsi="Times New Roman" w:cs="Times New Roman"/>
          <w:sz w:val="24"/>
          <w:szCs w:val="24"/>
        </w:rPr>
        <w:t>applied to managing</w:t>
      </w:r>
      <w:r>
        <w:rPr>
          <w:rFonts w:ascii="Times New Roman" w:hAnsi="Times New Roman" w:cs="Times New Roman"/>
          <w:sz w:val="24"/>
          <w:szCs w:val="24"/>
        </w:rPr>
        <w:t xml:space="preserve"> high-value cargo containers, such as refrigerated units or containers carrying animals tagged to monitor their physical condition. There is no need to put a more expensive AP on each separate shipping container if one – or the port, or the trailer truck – has a single AP and can create, on the fly, an RLAN to aggregate and process the data from whatever containers and other devices are within range. VLP devices could also jump on and off these next generation RLANs, assuming they are authorized as well at functional power levels.</w:t>
      </w:r>
    </w:p>
    <w:p w14:paraId="67FD7E7D" w14:textId="4257EC16" w:rsidR="001146F2" w:rsidRDefault="00045D13" w:rsidP="001917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Even more obvious benefits will accrue to the nation’s farmers, ranchers, loggers, national parks, </w:t>
      </w:r>
      <w:r w:rsidR="008E4FFA">
        <w:rPr>
          <w:rFonts w:ascii="Times New Roman" w:hAnsi="Times New Roman" w:cs="Times New Roman"/>
          <w:sz w:val="24"/>
          <w:szCs w:val="24"/>
        </w:rPr>
        <w:t xml:space="preserve">industrial campuses </w:t>
      </w:r>
      <w:r>
        <w:rPr>
          <w:rFonts w:ascii="Times New Roman" w:hAnsi="Times New Roman" w:cs="Times New Roman"/>
          <w:sz w:val="24"/>
          <w:szCs w:val="24"/>
        </w:rPr>
        <w:t>and other</w:t>
      </w:r>
      <w:r w:rsidR="008E4FFA">
        <w:rPr>
          <w:rFonts w:ascii="Times New Roman" w:hAnsi="Times New Roman" w:cs="Times New Roman"/>
          <w:sz w:val="24"/>
          <w:szCs w:val="24"/>
        </w:rPr>
        <w:t xml:space="preserve"> locations where </w:t>
      </w:r>
      <w:r>
        <w:rPr>
          <w:rFonts w:ascii="Times New Roman" w:hAnsi="Times New Roman" w:cs="Times New Roman"/>
          <w:sz w:val="24"/>
          <w:szCs w:val="24"/>
        </w:rPr>
        <w:t xml:space="preserve">enterprises </w:t>
      </w:r>
      <w:r w:rsidR="008E4FFA">
        <w:rPr>
          <w:rFonts w:ascii="Times New Roman" w:hAnsi="Times New Roman" w:cs="Times New Roman"/>
          <w:sz w:val="24"/>
          <w:szCs w:val="24"/>
        </w:rPr>
        <w:t>would benefit by being</w:t>
      </w:r>
      <w:r>
        <w:rPr>
          <w:rFonts w:ascii="Times New Roman" w:hAnsi="Times New Roman" w:cs="Times New Roman"/>
          <w:sz w:val="24"/>
          <w:szCs w:val="24"/>
        </w:rPr>
        <w:t xml:space="preserve"> able to create a roving, high-capacity RLAN on platforms (e.g., agricultural implements) that move across their property, aggregating data and integrating myriad applications as the emerging Internet of Things increasingly monitors and connects more and more systems, assets and inputs </w:t>
      </w:r>
      <w:r>
        <w:rPr>
          <w:rFonts w:ascii="Times New Roman" w:hAnsi="Times New Roman" w:cs="Times New Roman"/>
          <w:sz w:val="24"/>
          <w:szCs w:val="24"/>
        </w:rPr>
        <w:lastRenderedPageBreak/>
        <w:t xml:space="preserve">to production. </w:t>
      </w:r>
      <w:r w:rsidR="008E4FFA">
        <w:rPr>
          <w:rFonts w:ascii="Times New Roman" w:eastAsia="Times New Roman" w:hAnsi="Times New Roman" w:cs="Times New Roman"/>
          <w:sz w:val="24"/>
          <w:szCs w:val="24"/>
        </w:rPr>
        <w:t>Allowing standard-power operations in a geofenced area would greatly benefit farms as low-cost option for connectivity to support precision agriculture and the monitoring of soil and other conditions. For smart farming services, Wi-Fi networks are generally preferred to LTE and 4G networks for connectivity because once they have been deployed, they are less costly to sustain, customize, and operate.</w:t>
      </w:r>
      <w:r w:rsidR="008E4FFA">
        <w:rPr>
          <w:rFonts w:ascii="Times New Roman" w:eastAsia="Times New Roman" w:hAnsi="Times New Roman" w:cs="Times New Roman"/>
          <w:sz w:val="24"/>
          <w:szCs w:val="24"/>
          <w:vertAlign w:val="superscript"/>
        </w:rPr>
        <w:footnoteReference w:id="59"/>
      </w:r>
      <w:r w:rsidR="008E4FFA">
        <w:rPr>
          <w:rFonts w:ascii="Times New Roman" w:eastAsia="Times New Roman" w:hAnsi="Times New Roman" w:cs="Times New Roman"/>
          <w:sz w:val="24"/>
          <w:szCs w:val="24"/>
        </w:rPr>
        <w:t xml:space="preserve"> Farmers and ranchers are able to use Wi-Fi-enabled smart agriculture to review data and weather conditions, as well as monitor crops, soil conditions, and the status of their animals.</w:t>
      </w:r>
      <w:r w:rsidR="008E4FFA">
        <w:rPr>
          <w:rFonts w:ascii="Times New Roman" w:eastAsia="Times New Roman" w:hAnsi="Times New Roman" w:cs="Times New Roman"/>
          <w:sz w:val="24"/>
          <w:szCs w:val="24"/>
          <w:vertAlign w:val="superscript"/>
        </w:rPr>
        <w:footnoteReference w:id="60"/>
      </w:r>
      <w:r w:rsidR="008E4FFA">
        <w:rPr>
          <w:rFonts w:ascii="Times New Roman" w:eastAsia="Times New Roman" w:hAnsi="Times New Roman" w:cs="Times New Roman"/>
          <w:sz w:val="24"/>
          <w:szCs w:val="24"/>
        </w:rPr>
        <w:t xml:space="preserve"> Several pilot programs, such as Microsoft’s FarmBeats program, and the partnership between BlueTown and the University of California’s Kearney Agricultural Research and Education Center, have showcased the vast benefits smart agriculture powered by Wi-Fi can produce.</w:t>
      </w:r>
      <w:r w:rsidR="008E4FFA">
        <w:rPr>
          <w:rFonts w:ascii="Times New Roman" w:eastAsia="Times New Roman" w:hAnsi="Times New Roman" w:cs="Times New Roman"/>
          <w:sz w:val="24"/>
          <w:szCs w:val="24"/>
          <w:vertAlign w:val="superscript"/>
        </w:rPr>
        <w:footnoteReference w:id="61"/>
      </w:r>
    </w:p>
    <w:p w14:paraId="7DB4148F" w14:textId="7E7D8FC4" w:rsidR="00B47365" w:rsidRPr="00072156" w:rsidRDefault="001B5908" w:rsidP="001917A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capability of an AFC to calculate and enforce interference protection zones for standard power unlicensed devices has been, somewhat surprisingly, the issue of greatest</w:t>
      </w:r>
      <w:r w:rsidR="00AF2FD8">
        <w:rPr>
          <w:rFonts w:ascii="Times New Roman" w:hAnsi="Times New Roman" w:cs="Times New Roman"/>
          <w:sz w:val="24"/>
          <w:szCs w:val="24"/>
        </w:rPr>
        <w:t xml:space="preserve"> cons</w:t>
      </w:r>
      <w:r>
        <w:rPr>
          <w:rFonts w:ascii="Times New Roman" w:hAnsi="Times New Roman" w:cs="Times New Roman"/>
          <w:sz w:val="24"/>
          <w:szCs w:val="24"/>
        </w:rPr>
        <w:t>ensus among advocates for fixed wireless incumbents and unlicensed/Wi-Fi use of the band.</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Unless the </w:t>
      </w:r>
      <w:r w:rsidRPr="00072156">
        <w:rPr>
          <w:rFonts w:ascii="Times New Roman" w:hAnsi="Times New Roman" w:cs="Times New Roman"/>
          <w:sz w:val="24"/>
          <w:szCs w:val="24"/>
        </w:rPr>
        <w:t xml:space="preserve">Commission concludes, based on engineering evidence, that AFCs are incapable of calculating a geofenced area that is accurate enough to protect incumbent fixed </w:t>
      </w:r>
      <w:r w:rsidRPr="00072156">
        <w:rPr>
          <w:rFonts w:ascii="Times New Roman" w:hAnsi="Times New Roman" w:cs="Times New Roman"/>
          <w:sz w:val="24"/>
          <w:szCs w:val="24"/>
        </w:rPr>
        <w:lastRenderedPageBreak/>
        <w:t xml:space="preserve">links, PISC agrees with the Dynamic Spectrum Alliance </w:t>
      </w:r>
      <w:r w:rsidR="00CA088F" w:rsidRPr="00072156">
        <w:rPr>
          <w:rFonts w:ascii="Times New Roman" w:hAnsi="Times New Roman" w:cs="Times New Roman"/>
          <w:sz w:val="24"/>
          <w:szCs w:val="24"/>
        </w:rPr>
        <w:t xml:space="preserve">that “the Commission can best fulfill the promise of the 6 GHz band not by attempting to prescribe detailed command-and-control regulations on the specifics of AFC operation.  Instead, it should adopt </w:t>
      </w:r>
      <w:r w:rsidR="008B3FF2">
        <w:rPr>
          <w:rFonts w:ascii="Times New Roman" w:hAnsi="Times New Roman" w:cs="Times New Roman"/>
          <w:sz w:val="24"/>
          <w:szCs w:val="24"/>
        </w:rPr>
        <w:t>“</w:t>
      </w:r>
      <w:r w:rsidR="00CA088F" w:rsidRPr="00072156">
        <w:rPr>
          <w:rFonts w:ascii="Times New Roman" w:hAnsi="Times New Roman" w:cs="Times New Roman"/>
          <w:sz w:val="24"/>
          <w:szCs w:val="24"/>
        </w:rPr>
        <w:t>flexible, ends-oriented rules that both rigorously protect incumbents while allowing a diversity of AFC operators and models to flourish.”</w:t>
      </w:r>
      <w:r w:rsidR="00CA088F" w:rsidRPr="00072156">
        <w:rPr>
          <w:rStyle w:val="FootnoteReference"/>
          <w:rFonts w:ascii="Times New Roman" w:hAnsi="Times New Roman" w:cs="Times New Roman"/>
          <w:sz w:val="24"/>
          <w:szCs w:val="24"/>
        </w:rPr>
        <w:footnoteReference w:id="63"/>
      </w:r>
      <w:r w:rsidR="00CA088F" w:rsidRPr="00072156">
        <w:rPr>
          <w:rFonts w:ascii="Times New Roman" w:hAnsi="Times New Roman" w:cs="Times New Roman"/>
          <w:sz w:val="24"/>
          <w:szCs w:val="24"/>
        </w:rPr>
        <w:t xml:space="preserve">  </w:t>
      </w:r>
    </w:p>
    <w:p w14:paraId="5BCE4962" w14:textId="12585652" w:rsidR="007E0E79" w:rsidRPr="008718AA" w:rsidRDefault="00CA088F" w:rsidP="00BC4330">
      <w:pPr>
        <w:spacing w:line="480" w:lineRule="auto"/>
        <w:ind w:firstLine="720"/>
        <w:contextualSpacing/>
        <w:rPr>
          <w:rFonts w:ascii="Times New Roman" w:hAnsi="Times New Roman" w:cs="Times New Roman"/>
          <w:sz w:val="24"/>
          <w:szCs w:val="24"/>
        </w:rPr>
      </w:pPr>
      <w:r w:rsidRPr="008718AA">
        <w:rPr>
          <w:rFonts w:ascii="Times New Roman" w:hAnsi="Times New Roman" w:cs="Times New Roman"/>
          <w:sz w:val="24"/>
          <w:szCs w:val="24"/>
        </w:rPr>
        <w:t xml:space="preserve">Ends-oriented rules will allow the most flexible and intensive use of the 6 GHz band, subject only to safeguarding primary licensees from an undue risk of harmful interference. </w:t>
      </w:r>
      <w:r w:rsidR="00B47365" w:rsidRPr="008718AA">
        <w:rPr>
          <w:rFonts w:ascii="Times New Roman" w:hAnsi="Times New Roman" w:cs="Times New Roman"/>
          <w:sz w:val="24"/>
          <w:szCs w:val="24"/>
        </w:rPr>
        <w:t xml:space="preserve">For example, both pre-calculated and real-time geofence areas should be allowed. </w:t>
      </w:r>
      <w:r w:rsidR="00C04685" w:rsidRPr="008718AA">
        <w:rPr>
          <w:rFonts w:ascii="Times New Roman" w:hAnsi="Times New Roman" w:cs="Times New Roman"/>
          <w:sz w:val="24"/>
          <w:szCs w:val="24"/>
        </w:rPr>
        <w:t xml:space="preserve">The former could be most efficient along regular transportation routes, or for farms, campuses and other users with bounded perimeters, while the latter is likely necessary to accommodate less bounded or scheduled uses, such as truck convoys. </w:t>
      </w:r>
      <w:r w:rsidRPr="008718AA">
        <w:rPr>
          <w:rFonts w:ascii="Times New Roman" w:hAnsi="Times New Roman" w:cs="Times New Roman"/>
          <w:sz w:val="24"/>
          <w:szCs w:val="24"/>
        </w:rPr>
        <w:t>If the AFC operators and multi-stakeholder group tasked with implementing the Commission’s goa</w:t>
      </w:r>
      <w:r w:rsidR="00772399">
        <w:rPr>
          <w:rFonts w:ascii="Times New Roman" w:hAnsi="Times New Roman" w:cs="Times New Roman"/>
          <w:sz w:val="24"/>
          <w:szCs w:val="24"/>
        </w:rPr>
        <w:t>ls can ultimately demonstrate—as part of AFC certification—</w:t>
      </w:r>
      <w:r w:rsidRPr="008718AA">
        <w:rPr>
          <w:rFonts w:ascii="Times New Roman" w:hAnsi="Times New Roman" w:cs="Times New Roman"/>
          <w:sz w:val="24"/>
          <w:szCs w:val="24"/>
        </w:rPr>
        <w:t>that there is one or more ways to enable standard-power applications on mobile platforms, such a productive outcome should not be short-circuited based on hypothetical fears of the unknown.</w:t>
      </w:r>
    </w:p>
    <w:p w14:paraId="661D175F" w14:textId="40A60BA7" w:rsidR="00D57D5D" w:rsidRDefault="00942110" w:rsidP="009D7D5A">
      <w:pPr>
        <w:pStyle w:val="Heading1"/>
        <w:numPr>
          <w:ilvl w:val="0"/>
          <w:numId w:val="4"/>
        </w:numPr>
        <w:rPr>
          <w:rFonts w:ascii="Times New Roman" w:hAnsi="Times New Roman" w:cs="Times New Roman"/>
          <w:b/>
          <w:sz w:val="24"/>
          <w:szCs w:val="24"/>
        </w:rPr>
      </w:pPr>
      <w:bookmarkStart w:id="5" w:name="_Toc44320731"/>
      <w:r w:rsidRPr="00BC4330">
        <w:rPr>
          <w:rFonts w:ascii="Times New Roman" w:hAnsi="Times New Roman" w:cs="Times New Roman"/>
          <w:b/>
          <w:sz w:val="24"/>
          <w:szCs w:val="24"/>
        </w:rPr>
        <w:t>Conclusion</w:t>
      </w:r>
      <w:bookmarkEnd w:id="5"/>
    </w:p>
    <w:p w14:paraId="3D19D16C" w14:textId="77777777" w:rsidR="009D7D5A" w:rsidRPr="009D7D5A" w:rsidRDefault="009D7D5A" w:rsidP="009D7D5A"/>
    <w:p w14:paraId="2A3C2A79" w14:textId="159A17C9" w:rsidR="009D7D5A" w:rsidRPr="009D7D5A" w:rsidRDefault="008718AA" w:rsidP="009D7D5A">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The Commission should make sure that it establishes rules for the 6 GHz band that make the most efficient use of </w:t>
      </w:r>
      <w:r w:rsidR="00132900">
        <w:rPr>
          <w:rFonts w:ascii="Times New Roman" w:eastAsia="Times New Roman" w:hAnsi="Times New Roman" w:cs="Times New Roman"/>
          <w:sz w:val="24"/>
          <w:szCs w:val="24"/>
        </w:rPr>
        <w:t xml:space="preserve">spectrum and provides the best </w:t>
      </w:r>
      <w:r w:rsidR="00012A42">
        <w:rPr>
          <w:rFonts w:ascii="Times New Roman" w:eastAsia="Times New Roman" w:hAnsi="Times New Roman" w:cs="Times New Roman"/>
          <w:sz w:val="24"/>
          <w:szCs w:val="24"/>
        </w:rPr>
        <w:t xml:space="preserve">landscape for </w:t>
      </w:r>
      <w:r w:rsidR="0029785C">
        <w:rPr>
          <w:rFonts w:ascii="Times New Roman" w:eastAsia="Times New Roman" w:hAnsi="Times New Roman" w:cs="Times New Roman"/>
          <w:sz w:val="24"/>
          <w:szCs w:val="24"/>
        </w:rPr>
        <w:t>Wi-Fi and other unlicensed operations to thrive. To achieve this, the Commission should allow very low power devices to operate across the entirety of the 6 GH</w:t>
      </w:r>
      <w:r w:rsidR="00137102">
        <w:rPr>
          <w:rFonts w:ascii="Times New Roman" w:eastAsia="Times New Roman" w:hAnsi="Times New Roman" w:cs="Times New Roman"/>
          <w:sz w:val="24"/>
          <w:szCs w:val="24"/>
        </w:rPr>
        <w:t>z</w:t>
      </w:r>
      <w:r w:rsidR="0029785C">
        <w:rPr>
          <w:rFonts w:ascii="Times New Roman" w:eastAsia="Times New Roman" w:hAnsi="Times New Roman" w:cs="Times New Roman"/>
          <w:sz w:val="24"/>
          <w:szCs w:val="24"/>
        </w:rPr>
        <w:t xml:space="preserve"> band </w:t>
      </w:r>
      <w:r w:rsidR="0029785C" w:rsidRPr="006041DA">
        <w:rPr>
          <w:rFonts w:ascii="Times New Roman" w:eastAsia="Times New Roman" w:hAnsi="Times New Roman" w:cs="Times New Roman"/>
          <w:sz w:val="24"/>
          <w:szCs w:val="24"/>
        </w:rPr>
        <w:t xml:space="preserve">without using </w:t>
      </w:r>
      <w:r w:rsidR="0029785C">
        <w:rPr>
          <w:rFonts w:ascii="Times New Roman" w:eastAsia="Times New Roman" w:hAnsi="Times New Roman" w:cs="Times New Roman"/>
          <w:sz w:val="24"/>
          <w:szCs w:val="24"/>
        </w:rPr>
        <w:t>an AFC</w:t>
      </w:r>
      <w:r w:rsidR="007309A5">
        <w:rPr>
          <w:rFonts w:ascii="Times New Roman" w:eastAsia="Times New Roman" w:hAnsi="Times New Roman" w:cs="Times New Roman"/>
          <w:sz w:val="24"/>
          <w:szCs w:val="24"/>
        </w:rPr>
        <w:t xml:space="preserve">, as well as </w:t>
      </w:r>
      <w:r w:rsidR="007309A5">
        <w:rPr>
          <w:rFonts w:ascii="Times New Roman" w:hAnsi="Times New Roman" w:cs="Times New Roman"/>
          <w:sz w:val="24"/>
          <w:szCs w:val="24"/>
        </w:rPr>
        <w:lastRenderedPageBreak/>
        <w:t>ensuring</w:t>
      </w:r>
      <w:r w:rsidR="008265D3" w:rsidRPr="009E1EA1">
        <w:rPr>
          <w:rFonts w:ascii="Times New Roman" w:hAnsi="Times New Roman" w:cs="Times New Roman"/>
          <w:sz w:val="24"/>
          <w:szCs w:val="24"/>
        </w:rPr>
        <w:t xml:space="preserve"> LPI devices </w:t>
      </w:r>
      <w:r w:rsidR="007309A5">
        <w:rPr>
          <w:rFonts w:ascii="Times New Roman" w:hAnsi="Times New Roman" w:cs="Times New Roman"/>
          <w:sz w:val="24"/>
          <w:szCs w:val="24"/>
        </w:rPr>
        <w:t>can</w:t>
      </w:r>
      <w:r w:rsidR="008265D3" w:rsidRPr="009E1EA1">
        <w:rPr>
          <w:rFonts w:ascii="Times New Roman" w:hAnsi="Times New Roman" w:cs="Times New Roman"/>
          <w:sz w:val="24"/>
          <w:szCs w:val="24"/>
        </w:rPr>
        <w:t xml:space="preserve"> operate at a higher power spectral density of 8 dBm/MHz with a maximum permissible EIRP of 33 dBm for devices operating in a 320 megahertz bandwidth</w:t>
      </w:r>
      <w:r w:rsidR="00977203">
        <w:rPr>
          <w:rFonts w:ascii="Times New Roman" w:hAnsi="Times New Roman" w:cs="Times New Roman"/>
          <w:sz w:val="24"/>
          <w:szCs w:val="24"/>
        </w:rPr>
        <w:t>.</w:t>
      </w:r>
      <w:r w:rsidR="00C00ECE">
        <w:rPr>
          <w:rFonts w:ascii="Times New Roman" w:hAnsi="Times New Roman" w:cs="Times New Roman"/>
          <w:sz w:val="24"/>
          <w:szCs w:val="24"/>
        </w:rPr>
        <w:t xml:space="preserve"> The Commission should further </w:t>
      </w:r>
      <w:r w:rsidR="0027603A">
        <w:rPr>
          <w:rFonts w:ascii="Times New Roman" w:hAnsi="Times New Roman" w:cs="Times New Roman"/>
          <w:sz w:val="24"/>
          <w:szCs w:val="24"/>
        </w:rPr>
        <w:t>allow</w:t>
      </w:r>
      <w:r w:rsidR="00C00ECE">
        <w:rPr>
          <w:rFonts w:ascii="Times New Roman" w:hAnsi="Times New Roman" w:cs="Times New Roman"/>
          <w:sz w:val="24"/>
          <w:szCs w:val="24"/>
        </w:rPr>
        <w:t xml:space="preserve"> higher power limits and antenna directivity for point-to-point and point-to-multipoint operations in the U-NII-5 and U-NII-7 bands, </w:t>
      </w:r>
      <w:r w:rsidR="0061385F">
        <w:rPr>
          <w:rFonts w:ascii="Times New Roman" w:hAnsi="Times New Roman" w:cs="Times New Roman"/>
          <w:sz w:val="24"/>
          <w:szCs w:val="24"/>
        </w:rPr>
        <w:t xml:space="preserve">as well as </w:t>
      </w:r>
      <w:r w:rsidR="00B95325">
        <w:rPr>
          <w:rFonts w:ascii="Times New Roman" w:hAnsi="Times New Roman" w:cs="Times New Roman"/>
          <w:sz w:val="24"/>
          <w:szCs w:val="24"/>
        </w:rPr>
        <w:t>ensuring</w:t>
      </w:r>
      <w:r w:rsidR="0061385F" w:rsidRPr="0061385F">
        <w:rPr>
          <w:rFonts w:ascii="Times New Roman" w:hAnsi="Times New Roman" w:cs="Times New Roman"/>
          <w:sz w:val="24"/>
          <w:szCs w:val="24"/>
        </w:rPr>
        <w:t xml:space="preserve"> </w:t>
      </w:r>
      <w:r w:rsidR="009D7D5A">
        <w:rPr>
          <w:rFonts w:ascii="Times New Roman" w:hAnsi="Times New Roman" w:cs="Times New Roman"/>
          <w:sz w:val="24"/>
          <w:szCs w:val="24"/>
        </w:rPr>
        <w:t xml:space="preserve">that </w:t>
      </w:r>
      <w:r w:rsidR="0061385F">
        <w:rPr>
          <w:rFonts w:ascii="Times New Roman" w:hAnsi="Times New Roman" w:cs="Times New Roman"/>
          <w:sz w:val="24"/>
          <w:szCs w:val="24"/>
        </w:rPr>
        <w:t>mobile</w:t>
      </w:r>
      <w:r w:rsidR="0061385F" w:rsidRPr="0061385F">
        <w:rPr>
          <w:rFonts w:ascii="Times New Roman" w:hAnsi="Times New Roman" w:cs="Times New Roman"/>
          <w:sz w:val="24"/>
          <w:szCs w:val="24"/>
        </w:rPr>
        <w:t xml:space="preserve"> </w:t>
      </w:r>
      <w:r w:rsidR="0061385F">
        <w:rPr>
          <w:rFonts w:ascii="Times New Roman" w:hAnsi="Times New Roman" w:cs="Times New Roman"/>
          <w:sz w:val="24"/>
          <w:szCs w:val="24"/>
        </w:rPr>
        <w:t xml:space="preserve">standard-power access points </w:t>
      </w:r>
      <w:r w:rsidR="00416F0A">
        <w:rPr>
          <w:rFonts w:ascii="Times New Roman" w:hAnsi="Times New Roman" w:cs="Times New Roman"/>
          <w:sz w:val="24"/>
          <w:szCs w:val="24"/>
        </w:rPr>
        <w:t xml:space="preserve">are allowed </w:t>
      </w:r>
      <w:r w:rsidR="0061385F">
        <w:rPr>
          <w:rFonts w:ascii="Times New Roman" w:hAnsi="Times New Roman" w:cs="Times New Roman"/>
          <w:sz w:val="24"/>
          <w:szCs w:val="24"/>
        </w:rPr>
        <w:t xml:space="preserve">under AFC control in the U-NII-5 and U-NII-7 bands. </w:t>
      </w:r>
      <w:r w:rsidR="00375A21">
        <w:rPr>
          <w:rFonts w:ascii="Times New Roman" w:hAnsi="Times New Roman" w:cs="Times New Roman"/>
          <w:sz w:val="24"/>
          <w:szCs w:val="24"/>
        </w:rPr>
        <w:t xml:space="preserve">These actions will </w:t>
      </w:r>
      <w:r w:rsidR="00CA3A79">
        <w:rPr>
          <w:rFonts w:ascii="Times New Roman" w:hAnsi="Times New Roman" w:cs="Times New Roman"/>
          <w:sz w:val="24"/>
          <w:szCs w:val="24"/>
        </w:rPr>
        <w:t xml:space="preserve">solidify the country’s </w:t>
      </w:r>
      <w:r w:rsidR="006B09B7">
        <w:rPr>
          <w:rFonts w:ascii="Times New Roman" w:hAnsi="Times New Roman" w:cs="Times New Roman"/>
          <w:sz w:val="24"/>
          <w:szCs w:val="24"/>
        </w:rPr>
        <w:t xml:space="preserve">wireless future and unlock </w:t>
      </w:r>
      <w:r w:rsidR="009B36E7">
        <w:rPr>
          <w:rFonts w:ascii="Times New Roman" w:hAnsi="Times New Roman" w:cs="Times New Roman"/>
          <w:sz w:val="24"/>
          <w:szCs w:val="24"/>
        </w:rPr>
        <w:t xml:space="preserve">the potential of unlicensed spectrum and Wi-Fi </w:t>
      </w:r>
      <w:r w:rsidR="00DC1FD3">
        <w:rPr>
          <w:rFonts w:ascii="Times New Roman" w:hAnsi="Times New Roman" w:cs="Times New Roman"/>
          <w:sz w:val="24"/>
          <w:szCs w:val="24"/>
        </w:rPr>
        <w:t>for strengthening connectivity, new use cases, and bridging the digital divide.</w:t>
      </w:r>
    </w:p>
    <w:p w14:paraId="61363B8C" w14:textId="77777777" w:rsidR="009D7D5A" w:rsidRDefault="009D7D5A" w:rsidP="009D7D5A">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789750A8" w14:textId="77777777" w:rsidR="009D7D5A" w:rsidRDefault="009D7D5A" w:rsidP="009D7D5A">
      <w:pPr>
        <w:jc w:val="center"/>
        <w:rPr>
          <w:rFonts w:ascii="Times New Roman" w:eastAsia="Times New Roman" w:hAnsi="Times New Roman" w:cs="Times New Roman"/>
          <w:b/>
          <w:sz w:val="24"/>
          <w:szCs w:val="24"/>
        </w:rPr>
      </w:pPr>
    </w:p>
    <w:p w14:paraId="5FFE4553" w14:textId="77777777" w:rsidR="009D7D5A" w:rsidRDefault="009D7D5A"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AMERICA’S OPEN TECHNOLOGY INSTITUTE </w:t>
      </w:r>
    </w:p>
    <w:p w14:paraId="38B66A94" w14:textId="77777777" w:rsidR="009D7D5A" w:rsidRDefault="009D7D5A"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KNOWLEDGE</w:t>
      </w:r>
    </w:p>
    <w:p w14:paraId="76650D7E" w14:textId="0CD356CC" w:rsidR="009D7D5A" w:rsidRDefault="009D7D5A"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CONSUMER FEDERATION OF AMERICA</w:t>
      </w:r>
    </w:p>
    <w:p w14:paraId="71536659" w14:textId="30A3746F" w:rsidR="009D7D5A" w:rsidRDefault="009D7D5A" w:rsidP="009D7D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BENTON INSTITUTE</w:t>
      </w:r>
      <w:r w:rsidRPr="004010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 BROADBAND AND SOCIETY</w:t>
      </w:r>
    </w:p>
    <w:p w14:paraId="6C37737F" w14:textId="1CCB65C4" w:rsidR="00F43569" w:rsidRDefault="00F43569" w:rsidP="00F435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 HEALTH LIBRARIES BROADBAND (SHLB) COALITION</w:t>
      </w:r>
    </w:p>
    <w:p w14:paraId="09B6A21D" w14:textId="2A7CD7B1" w:rsidR="00F43569" w:rsidRDefault="00F43569" w:rsidP="009D7D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CENTURY CITIES</w:t>
      </w:r>
    </w:p>
    <w:p w14:paraId="0564B7B2" w14:textId="35802F48" w:rsidR="004B0391" w:rsidRDefault="004B0391" w:rsidP="009D7D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HUMBOLDT</w:t>
      </w:r>
    </w:p>
    <w:p w14:paraId="278A643D" w14:textId="7E8962BB" w:rsidR="009D7D5A" w:rsidRDefault="009D7D5A"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X-LAB</w:t>
      </w:r>
    </w:p>
    <w:p w14:paraId="36801146" w14:textId="5DB4D940" w:rsidR="009D7D5A" w:rsidRDefault="009D7D5A"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[[CONSUMER REPORTS]]</w:t>
      </w:r>
      <w:r w:rsidR="00F43569">
        <w:rPr>
          <w:rFonts w:ascii="Times New Roman" w:eastAsia="Times New Roman" w:hAnsi="Times New Roman" w:cs="Times New Roman"/>
          <w:b/>
          <w:sz w:val="24"/>
          <w:szCs w:val="24"/>
        </w:rPr>
        <w:t xml:space="preserve"> - tentative</w:t>
      </w:r>
    </w:p>
    <w:p w14:paraId="237697CE" w14:textId="7FC0C166" w:rsidR="007036EE" w:rsidRDefault="007036EE" w:rsidP="009D7D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LIBRARIES ASSOCIATION]]</w:t>
      </w:r>
    </w:p>
    <w:p w14:paraId="5D3FC6D1" w14:textId="195FD88C" w:rsidR="009D7D5A" w:rsidRDefault="00F43569" w:rsidP="009D7D5A">
      <w:pPr>
        <w:jc w:val="center"/>
        <w:rPr>
          <w:rFonts w:ascii="Times New Roman" w:eastAsia="Times New Roman" w:hAnsi="Times New Roman" w:cs="Times New Roman"/>
          <w:b/>
          <w:sz w:val="24"/>
          <w:szCs w:val="24"/>
        </w:rPr>
      </w:pPr>
      <w:bookmarkStart w:id="6" w:name="_GoBack"/>
      <w:bookmarkEnd w:id="6"/>
      <w:r>
        <w:rPr>
          <w:rFonts w:ascii="Times New Roman" w:eastAsia="Times New Roman" w:hAnsi="Times New Roman" w:cs="Times New Roman"/>
          <w:b/>
          <w:sz w:val="24"/>
          <w:szCs w:val="24"/>
        </w:rPr>
        <w:t xml:space="preserve"> </w:t>
      </w:r>
      <w:r w:rsidR="009D7D5A">
        <w:rPr>
          <w:rFonts w:ascii="Times New Roman" w:eastAsia="Times New Roman" w:hAnsi="Times New Roman" w:cs="Times New Roman"/>
          <w:b/>
          <w:sz w:val="24"/>
          <w:szCs w:val="24"/>
        </w:rPr>
        <w:t>[[</w:t>
      </w:r>
      <w:r w:rsidR="009D7D5A">
        <w:rPr>
          <w:rFonts w:ascii="Times New Roman" w:eastAsia="Times New Roman" w:hAnsi="Times New Roman" w:cs="Times New Roman"/>
          <w:b/>
          <w:sz w:val="24"/>
          <w:szCs w:val="24"/>
        </w:rPr>
        <w:t>COMMON CAUSE</w:t>
      </w:r>
      <w:r w:rsidR="009D7D5A">
        <w:rPr>
          <w:rFonts w:ascii="Times New Roman" w:eastAsia="Times New Roman" w:hAnsi="Times New Roman" w:cs="Times New Roman"/>
          <w:b/>
          <w:sz w:val="24"/>
          <w:szCs w:val="24"/>
        </w:rPr>
        <w:t>]]</w:t>
      </w:r>
    </w:p>
    <w:p w14:paraId="72BB16C4" w14:textId="4A9E3466" w:rsidR="009D7D5A" w:rsidRDefault="009D7D5A" w:rsidP="009D7D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TRIBAL DIGITAL VILLAGE NETWORK</w:t>
      </w:r>
      <w:r>
        <w:rPr>
          <w:rFonts w:ascii="Times New Roman" w:eastAsia="Times New Roman" w:hAnsi="Times New Roman" w:cs="Times New Roman"/>
          <w:b/>
          <w:sz w:val="24"/>
          <w:szCs w:val="24"/>
        </w:rPr>
        <w:t>]]</w:t>
      </w:r>
    </w:p>
    <w:p w14:paraId="324D02B3" w14:textId="578A04C8" w:rsidR="00C97BF7" w:rsidRDefault="00C97BF7" w:rsidP="009D7D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[[CoSN]]</w:t>
      </w:r>
    </w:p>
    <w:p w14:paraId="289B1410" w14:textId="77777777" w:rsidR="009D7D5A" w:rsidRDefault="009D7D5A" w:rsidP="009D7D5A">
      <w:pPr>
        <w:jc w:val="center"/>
        <w:rPr>
          <w:rFonts w:ascii="Times New Roman" w:eastAsia="Times New Roman" w:hAnsi="Times New Roman" w:cs="Times New Roman"/>
          <w:b/>
          <w:sz w:val="24"/>
          <w:szCs w:val="24"/>
        </w:rPr>
      </w:pPr>
    </w:p>
    <w:p w14:paraId="605D60BC" w14:textId="77777777" w:rsidR="009D7D5A" w:rsidRDefault="009D7D5A" w:rsidP="009D7D5A">
      <w:pPr>
        <w:jc w:val="center"/>
        <w:rPr>
          <w:rFonts w:ascii="Times New Roman" w:eastAsia="Times New Roman" w:hAnsi="Times New Roman" w:cs="Times New Roman"/>
          <w:b/>
          <w:sz w:val="24"/>
          <w:szCs w:val="24"/>
        </w:rPr>
      </w:pPr>
    </w:p>
    <w:p w14:paraId="7954EB9A" w14:textId="77777777" w:rsidR="009D7D5A" w:rsidRDefault="009D7D5A" w:rsidP="009D7D5A">
      <w:pPr>
        <w:rPr>
          <w:rFonts w:ascii="Times New Roman" w:eastAsia="Times New Roman" w:hAnsi="Times New Roman" w:cs="Times New Roman"/>
          <w:sz w:val="24"/>
          <w:szCs w:val="24"/>
        </w:rPr>
      </w:pPr>
    </w:p>
    <w:p w14:paraId="49DF74F2" w14:textId="77777777" w:rsidR="009D7D5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Amir Nasr</w:t>
      </w:r>
    </w:p>
    <w:p w14:paraId="1C964773" w14:textId="77777777" w:rsidR="009D7D5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Calabrese</w:t>
      </w:r>
    </w:p>
    <w:p w14:paraId="4C3FD0F5" w14:textId="77777777" w:rsidR="009D7D5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America’s Open Technology Institute </w:t>
      </w:r>
    </w:p>
    <w:p w14:paraId="47401A19" w14:textId="77777777" w:rsidR="009D7D5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740 15th Street NW, Suite 900 </w:t>
      </w:r>
    </w:p>
    <w:p w14:paraId="01361BC9" w14:textId="77777777" w:rsidR="009D7D5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20005</w:t>
      </w:r>
    </w:p>
    <w:p w14:paraId="13D49450" w14:textId="77777777" w:rsidR="009D7D5A" w:rsidRDefault="009D7D5A" w:rsidP="009D7D5A">
      <w:pPr>
        <w:rPr>
          <w:rFonts w:ascii="Times New Roman" w:eastAsia="Times New Roman" w:hAnsi="Times New Roman" w:cs="Times New Roman"/>
          <w:sz w:val="24"/>
          <w:szCs w:val="24"/>
        </w:rPr>
      </w:pPr>
    </w:p>
    <w:p w14:paraId="5D4A6D92" w14:textId="77777777" w:rsidR="009D7D5A" w:rsidRDefault="009D7D5A" w:rsidP="009D7D5A">
      <w:pPr>
        <w:rPr>
          <w:rFonts w:ascii="Times New Roman" w:eastAsia="Times New Roman" w:hAnsi="Times New Roman" w:cs="Times New Roman"/>
          <w:sz w:val="24"/>
          <w:szCs w:val="24"/>
        </w:rPr>
      </w:pPr>
    </w:p>
    <w:p w14:paraId="0B5A5B56" w14:textId="3710E9B4" w:rsidR="009D7D5A" w:rsidRPr="0003199A" w:rsidRDefault="009D7D5A" w:rsidP="009D7D5A">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29</w:t>
      </w:r>
      <w:r>
        <w:rPr>
          <w:rFonts w:ascii="Times New Roman" w:eastAsia="Times New Roman" w:hAnsi="Times New Roman" w:cs="Times New Roman"/>
          <w:sz w:val="24"/>
          <w:szCs w:val="24"/>
        </w:rPr>
        <w:t>, 2020</w:t>
      </w:r>
    </w:p>
    <w:p w14:paraId="11EBE956" w14:textId="77777777" w:rsidR="009D7D5A" w:rsidRPr="00942110" w:rsidRDefault="009D7D5A" w:rsidP="009D7D5A">
      <w:pPr>
        <w:spacing w:line="480" w:lineRule="auto"/>
        <w:contextualSpacing/>
        <w:rPr>
          <w:rFonts w:ascii="Times New Roman" w:eastAsia="Times New Roman" w:hAnsi="Times New Roman" w:cs="Times New Roman"/>
          <w:sz w:val="24"/>
          <w:szCs w:val="24"/>
        </w:rPr>
      </w:pPr>
    </w:p>
    <w:sectPr w:rsidR="009D7D5A" w:rsidRPr="009421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7075" w14:textId="77777777" w:rsidR="00454928" w:rsidRDefault="00454928">
      <w:pPr>
        <w:spacing w:line="240" w:lineRule="auto"/>
      </w:pPr>
      <w:r>
        <w:separator/>
      </w:r>
    </w:p>
  </w:endnote>
  <w:endnote w:type="continuationSeparator" w:id="0">
    <w:p w14:paraId="617C9C40" w14:textId="77777777" w:rsidR="00454928" w:rsidRDefault="0045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F1B" w14:textId="77777777" w:rsidR="0070460E" w:rsidRDefault="0070460E" w:rsidP="00704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1B926" w14:textId="77777777" w:rsidR="0070460E" w:rsidRDefault="0070460E" w:rsidP="00704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9DDB" w14:textId="00493F60" w:rsidR="0070460E" w:rsidRDefault="0070460E" w:rsidP="00704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569">
      <w:rPr>
        <w:rStyle w:val="PageNumber"/>
        <w:noProof/>
      </w:rPr>
      <w:t>29</w:t>
    </w:r>
    <w:r>
      <w:rPr>
        <w:rStyle w:val="PageNumber"/>
      </w:rPr>
      <w:fldChar w:fldCharType="end"/>
    </w:r>
  </w:p>
  <w:p w14:paraId="00000019" w14:textId="2A4E12A8" w:rsidR="000671EC" w:rsidRDefault="000671EC" w:rsidP="0070460E">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21FE" w14:textId="77777777" w:rsidR="00454928" w:rsidRDefault="00454928">
      <w:pPr>
        <w:spacing w:line="240" w:lineRule="auto"/>
      </w:pPr>
      <w:r>
        <w:separator/>
      </w:r>
    </w:p>
  </w:footnote>
  <w:footnote w:type="continuationSeparator" w:id="0">
    <w:p w14:paraId="7550650A" w14:textId="77777777" w:rsidR="00454928" w:rsidRDefault="00454928">
      <w:pPr>
        <w:spacing w:line="240" w:lineRule="auto"/>
      </w:pPr>
      <w:r>
        <w:continuationSeparator/>
      </w:r>
    </w:p>
  </w:footnote>
  <w:footnote w:id="1">
    <w:p w14:paraId="00033D75" w14:textId="77777777" w:rsidR="000671EC" w:rsidRPr="00DF1B91" w:rsidRDefault="000671EC" w:rsidP="00E84114">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Unlicensed Use of the 6 GHz Band; Expanding Flexible Use in Mid-Band Spectrum Between 3.7 and 24 GHz</w:t>
      </w:r>
      <w:r w:rsidRPr="00DF1B91">
        <w:rPr>
          <w:rFonts w:ascii="Times New Roman" w:hAnsi="Times New Roman" w:cs="Times New Roman"/>
          <w:sz w:val="24"/>
          <w:szCs w:val="24"/>
        </w:rPr>
        <w:t>, Report and Order and Further Notice of Proposed Rulemaking, ET Docket No. 18-295 and GN Docket No. 17-183, FCC 20-51 (rel. Apr. 24, 2020) (“</w:t>
      </w:r>
      <w:r w:rsidRPr="00DF1B91">
        <w:rPr>
          <w:rFonts w:ascii="Times New Roman" w:hAnsi="Times New Roman" w:cs="Times New Roman"/>
          <w:i/>
          <w:iCs/>
          <w:sz w:val="24"/>
          <w:szCs w:val="24"/>
        </w:rPr>
        <w:t>Report and Order</w:t>
      </w:r>
      <w:r w:rsidRPr="00DF1B91">
        <w:rPr>
          <w:rFonts w:ascii="Times New Roman" w:hAnsi="Times New Roman" w:cs="Times New Roman"/>
          <w:sz w:val="24"/>
          <w:szCs w:val="24"/>
        </w:rPr>
        <w:t>” or “</w:t>
      </w:r>
      <w:r w:rsidRPr="00DF1B91">
        <w:rPr>
          <w:rFonts w:ascii="Times New Roman" w:hAnsi="Times New Roman" w:cs="Times New Roman"/>
          <w:i/>
          <w:iCs/>
          <w:sz w:val="24"/>
          <w:szCs w:val="24"/>
        </w:rPr>
        <w:t>FNPRM</w:t>
      </w:r>
      <w:r w:rsidRPr="00DF1B91">
        <w:rPr>
          <w:rFonts w:ascii="Times New Roman" w:hAnsi="Times New Roman" w:cs="Times New Roman"/>
          <w:sz w:val="24"/>
          <w:szCs w:val="24"/>
        </w:rPr>
        <w:t>”).</w:t>
      </w:r>
    </w:p>
  </w:footnote>
  <w:footnote w:id="2">
    <w:p w14:paraId="3D97C8BF" w14:textId="77777777" w:rsidR="00E23DC5" w:rsidRPr="00DF1B91" w:rsidRDefault="00E23DC5" w:rsidP="00E23DC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See Id</w:t>
      </w:r>
      <w:r w:rsidRPr="00DF1B91">
        <w:rPr>
          <w:rFonts w:ascii="Times New Roman" w:hAnsi="Times New Roman" w:cs="Times New Roman"/>
          <w:sz w:val="24"/>
          <w:szCs w:val="24"/>
          <w:lang w:val="en-US"/>
        </w:rPr>
        <w:t xml:space="preserve">. at ¶ 234; Apple, Broadcom et al. July 2, 2019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at 5,7; Apple, Broadcom</w:t>
      </w:r>
    </w:p>
    <w:p w14:paraId="02FD226E" w14:textId="77777777" w:rsidR="00E23DC5" w:rsidRPr="00DF1B91" w:rsidRDefault="00E23DC5" w:rsidP="00E23DC5">
      <w:pPr>
        <w:pStyle w:val="FootnoteText"/>
        <w:rPr>
          <w:rFonts w:ascii="Times New Roman" w:hAnsi="Times New Roman" w:cs="Times New Roman"/>
          <w:sz w:val="24"/>
          <w:szCs w:val="24"/>
          <w:lang w:val="en-US"/>
        </w:rPr>
      </w:pPr>
      <w:r w:rsidRPr="00DF1B91">
        <w:rPr>
          <w:rFonts w:ascii="Times New Roman" w:hAnsi="Times New Roman" w:cs="Times New Roman"/>
          <w:sz w:val="24"/>
          <w:szCs w:val="24"/>
          <w:lang w:val="en-US"/>
        </w:rPr>
        <w:t xml:space="preserve">et al. Dec 9, 2019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at 8.</w:t>
      </w:r>
    </w:p>
  </w:footnote>
  <w:footnote w:id="3">
    <w:p w14:paraId="0000000D" w14:textId="160862B2"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 xml:space="preserve">FNPRM </w:t>
      </w:r>
      <w:r w:rsidRPr="00DF1B91">
        <w:rPr>
          <w:rFonts w:ascii="Times New Roman" w:hAnsi="Times New Roman" w:cs="Times New Roman"/>
          <w:sz w:val="24"/>
          <w:szCs w:val="24"/>
        </w:rPr>
        <w:t>at ¶ 235.</w:t>
      </w:r>
    </w:p>
  </w:footnote>
  <w:footnote w:id="4">
    <w:p w14:paraId="39E1E777" w14:textId="77777777" w:rsidR="000671EC" w:rsidRPr="00DF1B91" w:rsidRDefault="000671EC" w:rsidP="002C7067">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See Id</w:t>
      </w:r>
      <w:r w:rsidRPr="00DF1B91">
        <w:rPr>
          <w:rFonts w:ascii="Times New Roman" w:hAnsi="Times New Roman" w:cs="Times New Roman"/>
          <w:sz w:val="24"/>
          <w:szCs w:val="24"/>
          <w:lang w:val="en-US"/>
        </w:rPr>
        <w:t xml:space="preserve">. at ¶ 234; Apple, Broadcom et al. July 2, 2019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at 5,7; Apple, Broadcom</w:t>
      </w:r>
    </w:p>
    <w:p w14:paraId="6D8E44E9" w14:textId="2A7991AE" w:rsidR="000671EC" w:rsidRPr="00DF1B91" w:rsidRDefault="000671EC" w:rsidP="002C7067">
      <w:pPr>
        <w:pStyle w:val="FootnoteText"/>
        <w:rPr>
          <w:rFonts w:ascii="Times New Roman" w:hAnsi="Times New Roman" w:cs="Times New Roman"/>
          <w:sz w:val="24"/>
          <w:szCs w:val="24"/>
          <w:lang w:val="en-US"/>
        </w:rPr>
      </w:pPr>
      <w:r w:rsidRPr="00DF1B91">
        <w:rPr>
          <w:rFonts w:ascii="Times New Roman" w:hAnsi="Times New Roman" w:cs="Times New Roman"/>
          <w:sz w:val="24"/>
          <w:szCs w:val="24"/>
          <w:lang w:val="en-US"/>
        </w:rPr>
        <w:t xml:space="preserve">et al. Dec 9, 2019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at 8.</w:t>
      </w:r>
    </w:p>
  </w:footnote>
  <w:footnote w:id="5">
    <w:p w14:paraId="00000015" w14:textId="77777777" w:rsidR="000671EC" w:rsidRPr="00DF1B91" w:rsidRDefault="000671EC">
      <w:pPr>
        <w:spacing w:line="240" w:lineRule="auto"/>
        <w:rPr>
          <w:rFonts w:ascii="Times New Roman" w:hAnsi="Times New Roman" w:cs="Times New Roman"/>
          <w:i/>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Ibid.</w:t>
      </w:r>
    </w:p>
  </w:footnote>
  <w:footnote w:id="6">
    <w:p w14:paraId="0000001B" w14:textId="0FEC5AC6"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Ex Parte of Apple Inc., Broadcom Inc., Cisco Systems, Inc., Facebook, Inc., Google LLC, Intel Corporation, Marvell Semiconductor, Inc., and Qualcomm Incorporated, ET Docket No. 18-295, GN </w:t>
      </w:r>
      <w:r w:rsidR="00EC53C2" w:rsidRPr="00DF1B91">
        <w:rPr>
          <w:rFonts w:ascii="Times New Roman" w:hAnsi="Times New Roman" w:cs="Times New Roman"/>
          <w:sz w:val="24"/>
          <w:szCs w:val="24"/>
        </w:rPr>
        <w:t>D</w:t>
      </w:r>
      <w:r w:rsidRPr="00DF1B91">
        <w:rPr>
          <w:rFonts w:ascii="Times New Roman" w:hAnsi="Times New Roman" w:cs="Times New Roman"/>
          <w:sz w:val="24"/>
          <w:szCs w:val="24"/>
        </w:rPr>
        <w:t xml:space="preserve">ocket No. 17-183 (Nov. 12, 2019) at 1. </w:t>
      </w:r>
    </w:p>
  </w:footnote>
  <w:footnote w:id="7">
    <w:p w14:paraId="0000001C"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Reply Comments of Apple Inc., Broadcom Inc., Cisco Systems, Inc., Facebook, Inc., Google LLC, Hewlett Packard Enterprise, Intel Corporation, Marvell Semiconductor, Inc., Microsoft Corporation, Qualcomm Incorporated, and Ruckus Networks, an ARRIS Company, ET Docket No. 18-295, GN Docket No. 17-183 (March 18, 2019) at 10.</w:t>
      </w:r>
    </w:p>
  </w:footnote>
  <w:footnote w:id="8">
    <w:p w14:paraId="0000000E"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Remarks of FCC Chairman Ajit Pai at the Wi-Fi Alliance Virtual Membership Meeting (June 2, 2020), </w:t>
      </w:r>
      <w:hyperlink r:id="rId1">
        <w:r w:rsidRPr="00DF1B91">
          <w:rPr>
            <w:rFonts w:ascii="Times New Roman" w:hAnsi="Times New Roman" w:cs="Times New Roman"/>
            <w:color w:val="1155CC"/>
            <w:sz w:val="24"/>
            <w:szCs w:val="24"/>
            <w:u w:val="single"/>
          </w:rPr>
          <w:t>https://docs.fcc.gov/public/attachments/DOC-364693A1.pdf</w:t>
        </w:r>
      </w:hyperlink>
      <w:r w:rsidRPr="00DF1B91">
        <w:rPr>
          <w:rFonts w:ascii="Times New Roman" w:hAnsi="Times New Roman" w:cs="Times New Roman"/>
          <w:sz w:val="24"/>
          <w:szCs w:val="24"/>
        </w:rPr>
        <w:t xml:space="preserve"> at 2.</w:t>
      </w:r>
    </w:p>
  </w:footnote>
  <w:footnote w:id="9">
    <w:p w14:paraId="5A7CFEA3" w14:textId="77777777" w:rsidR="000671EC" w:rsidRPr="00DF1B91" w:rsidRDefault="000671EC" w:rsidP="002314FA">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Ex Parte of Apple Inc., Broadcom Inc., Facebook, Inc., Google LLC, Hewlett Packard Enterprise, Intel Corporation, Marvell Semiconductor, Inc., Microsoft Corporation, and Qualcomm Incorporated, ET Docket No. 18-295, GN Docket No. 17-183 (July 2, 2019) at 5.</w:t>
      </w:r>
    </w:p>
  </w:footnote>
  <w:footnote w:id="10">
    <w:p w14:paraId="0841868A" w14:textId="77777777" w:rsidR="000671EC" w:rsidRPr="00DF1B91" w:rsidRDefault="000671EC" w:rsidP="002314FA">
      <w:pPr>
        <w:spacing w:line="240" w:lineRule="auto"/>
        <w:rPr>
          <w:rFonts w:ascii="Times New Roman" w:hAnsi="Times New Roman" w:cs="Times New Roman"/>
          <w:i/>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Ibid.</w:t>
      </w:r>
    </w:p>
  </w:footnote>
  <w:footnote w:id="11">
    <w:p w14:paraId="0000000F"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Comments of Apple, Inc., ET Docket No. 18-295, GN Docket No. 17-183 (Feb. 15, 2019) at 7-8.</w:t>
      </w:r>
    </w:p>
  </w:footnote>
  <w:footnote w:id="12">
    <w:p w14:paraId="00000010"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Comments of Facebook, ET Docket No. 18-295, GN Docket No. 17-183 (Feb. 15, 2019) at 6.</w:t>
      </w:r>
    </w:p>
  </w:footnote>
  <w:footnote w:id="13">
    <w:p w14:paraId="00000011"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Ex Parte of Apple Inc., Broadcom Inc., Cisco Systems, Inc., Facebook, Inc., Google LLC, and Qualcomm Incorporated, ET Docket No. 18-295, GN Docket No. 17-183 (Dec. 9, 2019) at 1.</w:t>
      </w:r>
    </w:p>
  </w:footnote>
  <w:footnote w:id="14">
    <w:p w14:paraId="00000012" w14:textId="77777777" w:rsidR="000671EC" w:rsidRPr="00DF1B91" w:rsidRDefault="000671EC">
      <w:pPr>
        <w:spacing w:line="240" w:lineRule="auto"/>
        <w:rPr>
          <w:rFonts w:ascii="Times New Roman" w:hAnsi="Times New Roman" w:cs="Times New Roman"/>
          <w:i/>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Ibid.</w:t>
      </w:r>
    </w:p>
  </w:footnote>
  <w:footnote w:id="15">
    <w:p w14:paraId="00000013" w14:textId="77777777" w:rsidR="000671EC" w:rsidRPr="00DF1B91" w:rsidRDefault="000671EC">
      <w:pPr>
        <w:spacing w:line="240" w:lineRule="auto"/>
        <w:rPr>
          <w:rFonts w:ascii="Times New Roman" w:hAnsi="Times New Roman" w:cs="Times New Roman"/>
          <w:i/>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Ibid.</w:t>
      </w:r>
    </w:p>
  </w:footnote>
  <w:footnote w:id="16">
    <w:p w14:paraId="0000001A" w14:textId="77777777"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Qualcomm Comments, ET Docket No. 18-295, GN Docket No. 17-183 (Feb. 15, 2019) at 10.</w:t>
      </w:r>
    </w:p>
  </w:footnote>
  <w:footnote w:id="17">
    <w:p w14:paraId="79F48C7C" w14:textId="15A1B5D0" w:rsidR="000671EC" w:rsidRPr="00DF1B91" w:rsidRDefault="000671EC">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See, e.g.</w:t>
      </w:r>
      <w:r w:rsidRPr="00DF1B91">
        <w:rPr>
          <w:rFonts w:ascii="Times New Roman" w:hAnsi="Times New Roman" w:cs="Times New Roman"/>
          <w:sz w:val="24"/>
          <w:szCs w:val="24"/>
          <w:lang w:val="en-US"/>
        </w:rPr>
        <w:t xml:space="preserve">, Jeremy Roschelle, Kemi Jona and Patricia Schank, “Remote Labs,” CIRCL—Center for Innovative Research in Cyberlearning, available at </w:t>
      </w:r>
      <w:hyperlink r:id="rId2" w:history="1">
        <w:r w:rsidRPr="00DF1B91">
          <w:rPr>
            <w:rStyle w:val="Hyperlink"/>
            <w:rFonts w:ascii="Times New Roman" w:hAnsi="Times New Roman" w:cs="Times New Roman"/>
            <w:sz w:val="24"/>
            <w:szCs w:val="24"/>
          </w:rPr>
          <w:t>https://circlcenter.org/remote-labs/</w:t>
        </w:r>
      </w:hyperlink>
      <w:r w:rsidRPr="00DF1B91">
        <w:rPr>
          <w:rFonts w:ascii="Times New Roman" w:hAnsi="Times New Roman" w:cs="Times New Roman"/>
          <w:sz w:val="24"/>
          <w:szCs w:val="24"/>
        </w:rPr>
        <w:t>.</w:t>
      </w:r>
    </w:p>
  </w:footnote>
  <w:footnote w:id="18">
    <w:p w14:paraId="5AC8959F" w14:textId="77777777" w:rsidR="000671EC" w:rsidRPr="00DF1B91" w:rsidRDefault="000671EC" w:rsidP="001C6EE7">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Eli Zimmerman, “AR/VR in K–12: Schools Use Immersive Technology for Assistive Learning,” EdTech Magazine (Aug. 22, 2019), </w:t>
      </w:r>
      <w:hyperlink r:id="rId3">
        <w:r w:rsidRPr="00DF1B91">
          <w:rPr>
            <w:rFonts w:ascii="Times New Roman" w:hAnsi="Times New Roman" w:cs="Times New Roman"/>
            <w:color w:val="1155CC"/>
            <w:sz w:val="24"/>
            <w:szCs w:val="24"/>
            <w:u w:val="single"/>
          </w:rPr>
          <w:t>https://edtechmagazine.com/k12/article/2019/08/arvr-k-12-schools-use-immersive-technology-assistive-learning-perfcon</w:t>
        </w:r>
      </w:hyperlink>
      <w:r w:rsidRPr="00DF1B91">
        <w:rPr>
          <w:rFonts w:ascii="Times New Roman" w:hAnsi="Times New Roman" w:cs="Times New Roman"/>
          <w:sz w:val="24"/>
          <w:szCs w:val="24"/>
        </w:rPr>
        <w:t xml:space="preserve"> (“Experts have found virtual environments can give students who require extra assistance the opportunities to build the skills they need to be as successful in the classroom as their peers. ‘It’s being used … to work with students on joint attention skills, sensory-based experiences, exposure therapy to reduce anxiety, social stories, community-based instruction, social skills, executive functioning, daily and independent living skills, safety awareness, and social modeling,’ said Jaclyn Wickham, founder of AcclimateVR, in a presentation hosted by the Center on Technology and Disability.”).</w:t>
      </w:r>
    </w:p>
  </w:footnote>
  <w:footnote w:id="19">
    <w:p w14:paraId="00000017" w14:textId="423988B4" w:rsidR="000671EC" w:rsidRPr="00DF1B91" w:rsidRDefault="000671EC">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Clive Thompson, “What If Working From Home Goes on … Forever?,” </w:t>
      </w:r>
      <w:r w:rsidRPr="00DF1B91">
        <w:rPr>
          <w:rFonts w:ascii="Times New Roman" w:hAnsi="Times New Roman" w:cs="Times New Roman"/>
          <w:i/>
          <w:sz w:val="24"/>
          <w:szCs w:val="24"/>
        </w:rPr>
        <w:t xml:space="preserve">The New York Times Magazine </w:t>
      </w:r>
      <w:r w:rsidRPr="00DF1B91">
        <w:rPr>
          <w:rFonts w:ascii="Times New Roman" w:hAnsi="Times New Roman" w:cs="Times New Roman"/>
          <w:sz w:val="24"/>
          <w:szCs w:val="24"/>
        </w:rPr>
        <w:t xml:space="preserve">(June 9, 2020), </w:t>
      </w:r>
      <w:hyperlink r:id="rId4">
        <w:r w:rsidRPr="00DF1B91">
          <w:rPr>
            <w:rFonts w:ascii="Times New Roman" w:hAnsi="Times New Roman" w:cs="Times New Roman"/>
            <w:color w:val="1155CC"/>
            <w:sz w:val="24"/>
            <w:szCs w:val="24"/>
            <w:u w:val="single"/>
          </w:rPr>
          <w:t>https://www.nytimes.com/interactive/2020/06/09/magazine/remote-work-covid.html</w:t>
        </w:r>
      </w:hyperlink>
      <w:r w:rsidRPr="00DF1B91">
        <w:rPr>
          <w:rFonts w:ascii="Times New Roman" w:hAnsi="Times New Roman" w:cs="Times New Roman"/>
          <w:sz w:val="24"/>
          <w:szCs w:val="24"/>
        </w:rPr>
        <w:t>.</w:t>
      </w:r>
    </w:p>
  </w:footnote>
  <w:footnote w:id="20">
    <w:p w14:paraId="54B669AB" w14:textId="4CBA8C2A" w:rsidR="00EA1DC7" w:rsidRPr="00DF1B91" w:rsidRDefault="00EA1DC7" w:rsidP="00EA1DC7">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00507593" w:rsidRPr="00DF1B91">
        <w:rPr>
          <w:rFonts w:ascii="Times New Roman" w:hAnsi="Times New Roman" w:cs="Times New Roman"/>
          <w:sz w:val="24"/>
          <w:szCs w:val="24"/>
          <w:lang w:val="en-US"/>
        </w:rPr>
        <w:t>Letter from CableLabs, Charter and Comcast to Marlene H. Dortch, ET Docket 18-295, GN Docket 17-183, at 3 (March 25, 2020) (“Cable March 25 Ex Parte”)</w:t>
      </w:r>
      <w:r w:rsidRPr="00DF1B91">
        <w:rPr>
          <w:rFonts w:ascii="Times New Roman" w:hAnsi="Times New Roman" w:cs="Times New Roman"/>
          <w:sz w:val="24"/>
          <w:szCs w:val="24"/>
          <w:lang w:val="en-US"/>
        </w:rPr>
        <w:t>.</w:t>
      </w:r>
    </w:p>
  </w:footnote>
  <w:footnote w:id="21">
    <w:p w14:paraId="0044A2D0" w14:textId="77777777" w:rsidR="000671EC" w:rsidRPr="00DF1B91" w:rsidRDefault="000671EC" w:rsidP="009E1EA1">
      <w:pPr>
        <w:pStyle w:val="FootnoteText"/>
        <w:spacing w:after="240"/>
        <w:contextualSpacing/>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See FNPRM at ¶ 244. </w:t>
      </w:r>
    </w:p>
  </w:footnote>
  <w:footnote w:id="22">
    <w:p w14:paraId="69B9158C" w14:textId="416530BB" w:rsidR="000671EC" w:rsidRPr="00DF1B91" w:rsidRDefault="000671EC" w:rsidP="009E1EA1">
      <w:pPr>
        <w:pStyle w:val="FootnoteText"/>
        <w:spacing w:after="240"/>
        <w:contextualSpacing/>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Id. </w:t>
      </w:r>
    </w:p>
  </w:footnote>
  <w:footnote w:id="23">
    <w:p w14:paraId="7E32A162" w14:textId="286DC855" w:rsidR="000671EC" w:rsidRPr="00DF1B91" w:rsidRDefault="000671EC">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00D31BD9" w:rsidRPr="00DF1B91">
        <w:rPr>
          <w:rFonts w:ascii="Times New Roman" w:hAnsi="Times New Roman" w:cs="Times New Roman"/>
          <w:i/>
          <w:sz w:val="24"/>
          <w:szCs w:val="24"/>
          <w:lang w:val="en-US"/>
        </w:rPr>
        <w:t>Report and Order</w:t>
      </w:r>
      <w:r w:rsidR="00D31BD9" w:rsidRPr="00DF1B91">
        <w:rPr>
          <w:rFonts w:ascii="Times New Roman" w:hAnsi="Times New Roman" w:cs="Times New Roman"/>
          <w:sz w:val="24"/>
          <w:szCs w:val="24"/>
          <w:lang w:val="en-US"/>
        </w:rPr>
        <w:t xml:space="preserve"> </w:t>
      </w:r>
      <w:r w:rsidR="00D31BD9" w:rsidRPr="00DF1B91">
        <w:rPr>
          <w:rFonts w:ascii="Times New Roman" w:hAnsi="Times New Roman" w:cs="Times New Roman"/>
          <w:sz w:val="24"/>
          <w:szCs w:val="24"/>
        </w:rPr>
        <w:t>¶¶</w:t>
      </w:r>
      <w:r w:rsidR="00F461AB" w:rsidRPr="00DF1B91">
        <w:rPr>
          <w:rFonts w:ascii="Times New Roman" w:hAnsi="Times New Roman" w:cs="Times New Roman"/>
          <w:sz w:val="24"/>
          <w:szCs w:val="24"/>
        </w:rPr>
        <w:t xml:space="preserve"> 117-118.</w:t>
      </w:r>
    </w:p>
  </w:footnote>
  <w:footnote w:id="24">
    <w:p w14:paraId="0B70A0FC" w14:textId="28A6BBDF" w:rsidR="000671EC" w:rsidRPr="00DF1B91" w:rsidRDefault="000671EC" w:rsidP="006779A3">
      <w:pPr>
        <w:pStyle w:val="FootnoteText"/>
        <w:spacing w:after="240"/>
        <w:contextualSpacing/>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 xml:space="preserve">See </w:t>
      </w:r>
      <w:r w:rsidR="006779A3" w:rsidRPr="00DF1B91">
        <w:rPr>
          <w:rFonts w:ascii="Times New Roman" w:hAnsi="Times New Roman" w:cs="Times New Roman"/>
          <w:i/>
          <w:sz w:val="24"/>
          <w:szCs w:val="24"/>
        </w:rPr>
        <w:t>Ex Parte</w:t>
      </w:r>
      <w:r w:rsidR="006779A3" w:rsidRPr="00DF1B91">
        <w:rPr>
          <w:rFonts w:ascii="Times New Roman" w:hAnsi="Times New Roman" w:cs="Times New Roman"/>
          <w:sz w:val="24"/>
          <w:szCs w:val="24"/>
        </w:rPr>
        <w:t xml:space="preserve"> </w:t>
      </w:r>
      <w:r w:rsidRPr="00DF1B91">
        <w:rPr>
          <w:rFonts w:ascii="Times New Roman" w:hAnsi="Times New Roman" w:cs="Times New Roman"/>
          <w:sz w:val="24"/>
          <w:szCs w:val="24"/>
        </w:rPr>
        <w:t>Letter from Rob Alderfer, Vice President of Technology Policy, CableLabs</w:t>
      </w:r>
      <w:r w:rsidR="006779A3" w:rsidRPr="00DF1B91">
        <w:rPr>
          <w:rFonts w:ascii="Times New Roman" w:hAnsi="Times New Roman" w:cs="Times New Roman"/>
          <w:sz w:val="24"/>
          <w:szCs w:val="24"/>
        </w:rPr>
        <w:t>,</w:t>
      </w:r>
      <w:r w:rsidRPr="00DF1B91">
        <w:rPr>
          <w:rFonts w:ascii="Times New Roman" w:hAnsi="Times New Roman" w:cs="Times New Roman"/>
          <w:sz w:val="24"/>
          <w:szCs w:val="24"/>
        </w:rPr>
        <w:t xml:space="preserve"> ET Docket No. 18-295, GN Docket No. 17-183, at 4-5 (filed March 30, 2020). </w:t>
      </w:r>
    </w:p>
  </w:footnote>
  <w:footnote w:id="25">
    <w:p w14:paraId="572FEAAC" w14:textId="576F4E1B" w:rsidR="00C15512" w:rsidRPr="00DF1B91" w:rsidRDefault="00C15512">
      <w:pPr>
        <w:pStyle w:val="FootnoteText"/>
        <w:rPr>
          <w:rFonts w:ascii="Times New Roman" w:hAnsi="Times New Roman" w:cs="Times New Roman"/>
          <w:b/>
          <w:bCs/>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See</w:t>
      </w:r>
      <w:r w:rsidRPr="00DF1B91">
        <w:rPr>
          <w:rFonts w:ascii="Times New Roman" w:hAnsi="Times New Roman" w:cs="Times New Roman"/>
          <w:sz w:val="24"/>
          <w:szCs w:val="24"/>
          <w:lang w:val="en-US"/>
        </w:rPr>
        <w:t xml:space="preserve"> Joe O’Halloran, “</w:t>
      </w:r>
      <w:r w:rsidRPr="00DF1B91">
        <w:rPr>
          <w:rFonts w:ascii="Times New Roman" w:hAnsi="Times New Roman" w:cs="Times New Roman"/>
          <w:bCs/>
          <w:sz w:val="24"/>
          <w:szCs w:val="24"/>
          <w:lang w:val="en-US"/>
        </w:rPr>
        <w:t xml:space="preserve">Mettis Aerospace completes world’s first phase-one Wi-Fi 6 4.0 trials,” </w:t>
      </w:r>
      <w:r w:rsidRPr="00DF1B91">
        <w:rPr>
          <w:rFonts w:ascii="Times New Roman" w:hAnsi="Times New Roman" w:cs="Times New Roman"/>
          <w:bCs/>
          <w:i/>
          <w:sz w:val="24"/>
          <w:szCs w:val="24"/>
          <w:lang w:val="en-US"/>
        </w:rPr>
        <w:t xml:space="preserve">Computer Weekly </w:t>
      </w:r>
      <w:r w:rsidRPr="00DF1B91">
        <w:rPr>
          <w:rFonts w:ascii="Times New Roman" w:hAnsi="Times New Roman" w:cs="Times New Roman"/>
          <w:bCs/>
          <w:sz w:val="24"/>
          <w:szCs w:val="24"/>
          <w:lang w:val="en-US"/>
        </w:rPr>
        <w:t xml:space="preserve">(Dec. 5, 2019), available at </w:t>
      </w:r>
      <w:hyperlink r:id="rId5" w:history="1">
        <w:r w:rsidRPr="00DF1B91">
          <w:rPr>
            <w:rStyle w:val="Hyperlink"/>
            <w:rFonts w:ascii="Times New Roman" w:hAnsi="Times New Roman" w:cs="Times New Roman"/>
            <w:sz w:val="24"/>
            <w:szCs w:val="24"/>
          </w:rPr>
          <w:t>https://www.computerweekly.com/news/252475056/Mettis-Aerospace-completes-worlds-first-phase-one-Wi-Fi-6-40-trials</w:t>
        </w:r>
      </w:hyperlink>
      <w:r w:rsidRPr="00DF1B91">
        <w:rPr>
          <w:rFonts w:ascii="Times New Roman" w:hAnsi="Times New Roman" w:cs="Times New Roman"/>
          <w:sz w:val="24"/>
          <w:szCs w:val="24"/>
        </w:rPr>
        <w:t xml:space="preserve">. </w:t>
      </w:r>
    </w:p>
  </w:footnote>
  <w:footnote w:id="26">
    <w:p w14:paraId="2153A6F0" w14:textId="4AA92925" w:rsidR="000671EC" w:rsidRPr="00DF1B91" w:rsidRDefault="000671EC" w:rsidP="006779A3">
      <w:pPr>
        <w:pStyle w:val="FootnoteText"/>
        <w:spacing w:after="240"/>
        <w:contextualSpacing/>
        <w:rPr>
          <w:rFonts w:ascii="Times New Roman" w:hAnsi="Times New Roman" w:cs="Times New Roman"/>
          <w:sz w:val="24"/>
          <w:szCs w:val="24"/>
          <w:lang w:val="es-CO"/>
        </w:rPr>
      </w:pPr>
      <w:r w:rsidRPr="00DF1B91">
        <w:rPr>
          <w:rStyle w:val="FootnoteReference"/>
          <w:rFonts w:ascii="Times New Roman" w:hAnsi="Times New Roman" w:cs="Times New Roman"/>
          <w:sz w:val="24"/>
          <w:szCs w:val="24"/>
        </w:rPr>
        <w:footnoteRef/>
      </w:r>
      <w:r w:rsidR="003B1BB1" w:rsidRPr="00DF1B91">
        <w:rPr>
          <w:rFonts w:ascii="Times New Roman" w:hAnsi="Times New Roman" w:cs="Times New Roman"/>
          <w:sz w:val="24"/>
          <w:szCs w:val="24"/>
          <w:lang w:val="es-CO"/>
        </w:rPr>
        <w:t xml:space="preserve"> </w:t>
      </w:r>
      <w:r w:rsidR="006779A3" w:rsidRPr="00DF1B91">
        <w:rPr>
          <w:rFonts w:ascii="Times New Roman" w:hAnsi="Times New Roman" w:cs="Times New Roman"/>
          <w:i/>
          <w:sz w:val="24"/>
          <w:szCs w:val="24"/>
          <w:lang w:val="es-CO"/>
        </w:rPr>
        <w:t>See</w:t>
      </w:r>
      <w:r w:rsidR="006779A3" w:rsidRPr="00DF1B91">
        <w:rPr>
          <w:rFonts w:ascii="Times New Roman" w:hAnsi="Times New Roman" w:cs="Times New Roman"/>
          <w:sz w:val="24"/>
          <w:szCs w:val="24"/>
          <w:lang w:val="es-CO"/>
        </w:rPr>
        <w:t xml:space="preserve"> CableLabs Mar. 19, 2020 </w:t>
      </w:r>
      <w:r w:rsidR="006779A3" w:rsidRPr="00DF1B91">
        <w:rPr>
          <w:rFonts w:ascii="Times New Roman" w:hAnsi="Times New Roman" w:cs="Times New Roman"/>
          <w:i/>
          <w:sz w:val="24"/>
          <w:szCs w:val="24"/>
          <w:lang w:val="es-CO"/>
        </w:rPr>
        <w:t>Ex Parte</w:t>
      </w:r>
      <w:r w:rsidR="006779A3" w:rsidRPr="00DF1B91">
        <w:rPr>
          <w:rFonts w:ascii="Times New Roman" w:hAnsi="Times New Roman" w:cs="Times New Roman"/>
          <w:sz w:val="24"/>
          <w:szCs w:val="24"/>
          <w:lang w:val="es-CO"/>
        </w:rPr>
        <w:t xml:space="preserve"> at 2; </w:t>
      </w:r>
      <w:r w:rsidR="00507593" w:rsidRPr="00DF1B91">
        <w:rPr>
          <w:rFonts w:ascii="Times New Roman" w:hAnsi="Times New Roman" w:cs="Times New Roman"/>
          <w:sz w:val="24"/>
          <w:szCs w:val="24"/>
        </w:rPr>
        <w:t xml:space="preserve">Letter from Rob Alderfer, CableLabs, </w:t>
      </w:r>
      <w:r w:rsidR="00507593" w:rsidRPr="00DF1B91">
        <w:rPr>
          <w:rFonts w:ascii="Times New Roman" w:hAnsi="Times New Roman" w:cs="Times New Roman"/>
          <w:sz w:val="24"/>
          <w:szCs w:val="24"/>
          <w:lang w:val="en-US"/>
        </w:rPr>
        <w:t>to Marlene H. Dortch, ET Docket 18-295, GN Docket 17-183</w:t>
      </w:r>
      <w:r w:rsidR="00507593" w:rsidRPr="00DF1B91">
        <w:rPr>
          <w:rFonts w:ascii="Times New Roman" w:hAnsi="Times New Roman" w:cs="Times New Roman"/>
          <w:sz w:val="24"/>
          <w:szCs w:val="24"/>
        </w:rPr>
        <w:t xml:space="preserve"> (Dec. 20, 2019) (“</w:t>
      </w:r>
      <w:r w:rsidR="00507593" w:rsidRPr="00DF1B91">
        <w:rPr>
          <w:rFonts w:ascii="Times New Roman" w:eastAsia="TimesNewRomanPSMT" w:hAnsi="Times New Roman" w:cs="Times New Roman"/>
          <w:sz w:val="24"/>
          <w:szCs w:val="24"/>
          <w:lang w:val="es-CO"/>
        </w:rPr>
        <w:t>CableLabs Dec. 20</w:t>
      </w:r>
      <w:r w:rsidRPr="00DF1B91">
        <w:rPr>
          <w:rFonts w:ascii="Times New Roman" w:eastAsia="TimesNewRomanPSMT" w:hAnsi="Times New Roman" w:cs="Times New Roman"/>
          <w:sz w:val="24"/>
          <w:szCs w:val="24"/>
          <w:lang w:val="es-CO"/>
        </w:rPr>
        <w:t xml:space="preserve"> </w:t>
      </w:r>
      <w:r w:rsidRPr="00DF1B91">
        <w:rPr>
          <w:rFonts w:ascii="Times New Roman" w:eastAsia="TimesNewRomanPSMT" w:hAnsi="Times New Roman" w:cs="Times New Roman"/>
          <w:iCs/>
          <w:sz w:val="24"/>
          <w:szCs w:val="24"/>
          <w:lang w:val="es-CO"/>
        </w:rPr>
        <w:t>Ex Parte</w:t>
      </w:r>
      <w:r w:rsidR="00507593" w:rsidRPr="00DF1B91">
        <w:rPr>
          <w:rFonts w:ascii="Times New Roman" w:eastAsia="TimesNewRomanPSMT" w:hAnsi="Times New Roman" w:cs="Times New Roman"/>
          <w:iCs/>
          <w:sz w:val="24"/>
          <w:szCs w:val="24"/>
          <w:lang w:val="es-CO"/>
        </w:rPr>
        <w:t>”)</w:t>
      </w:r>
      <w:r w:rsidRPr="00DF1B91">
        <w:rPr>
          <w:rFonts w:ascii="Times New Roman" w:eastAsia="TimesNewRomanPSMT" w:hAnsi="Times New Roman" w:cs="Times New Roman"/>
          <w:sz w:val="24"/>
          <w:szCs w:val="24"/>
          <w:lang w:val="es-CO"/>
        </w:rPr>
        <w:t xml:space="preserve">; </w:t>
      </w:r>
      <w:r w:rsidR="00507593" w:rsidRPr="00DF1B91">
        <w:rPr>
          <w:rFonts w:ascii="Times New Roman" w:hAnsi="Times New Roman" w:cs="Times New Roman"/>
          <w:sz w:val="24"/>
          <w:szCs w:val="24"/>
        </w:rPr>
        <w:t xml:space="preserve">Letter from Rob Alderfer, CableLabs, </w:t>
      </w:r>
      <w:r w:rsidR="00507593" w:rsidRPr="00DF1B91">
        <w:rPr>
          <w:rFonts w:ascii="Times New Roman" w:hAnsi="Times New Roman" w:cs="Times New Roman"/>
          <w:sz w:val="24"/>
          <w:szCs w:val="24"/>
          <w:lang w:val="en-US"/>
        </w:rPr>
        <w:t>to Marlene H. Dortch, ET Docket 18-295, GN Docket 17-183, at 5-7</w:t>
      </w:r>
      <w:r w:rsidR="00507593" w:rsidRPr="00DF1B91">
        <w:rPr>
          <w:rFonts w:ascii="Times New Roman" w:hAnsi="Times New Roman" w:cs="Times New Roman"/>
          <w:sz w:val="24"/>
          <w:szCs w:val="24"/>
        </w:rPr>
        <w:t xml:space="preserve"> (Feb. 14, 2020) (“</w:t>
      </w:r>
      <w:r w:rsidR="00507593" w:rsidRPr="00DF1B91">
        <w:rPr>
          <w:rFonts w:ascii="Times New Roman" w:eastAsia="TimesNewRomanPSMT" w:hAnsi="Times New Roman" w:cs="Times New Roman"/>
          <w:sz w:val="24"/>
          <w:szCs w:val="24"/>
          <w:lang w:val="es-CO"/>
        </w:rPr>
        <w:t xml:space="preserve">CableLabs Feb. 14 </w:t>
      </w:r>
      <w:r w:rsidRPr="00DF1B91">
        <w:rPr>
          <w:rFonts w:ascii="Times New Roman" w:eastAsia="TimesNewRomanPSMT" w:hAnsi="Times New Roman" w:cs="Times New Roman"/>
          <w:iCs/>
          <w:sz w:val="24"/>
          <w:szCs w:val="24"/>
          <w:lang w:val="es-CO"/>
        </w:rPr>
        <w:t>Ex Parte</w:t>
      </w:r>
      <w:r w:rsidR="00507593" w:rsidRPr="00DF1B91">
        <w:rPr>
          <w:rFonts w:ascii="Times New Roman" w:eastAsia="TimesNewRomanPSMT" w:hAnsi="Times New Roman" w:cs="Times New Roman"/>
          <w:iCs/>
          <w:sz w:val="24"/>
          <w:szCs w:val="24"/>
          <w:lang w:val="es-CO"/>
        </w:rPr>
        <w:t>”)</w:t>
      </w:r>
      <w:r w:rsidR="00A545CF" w:rsidRPr="00DF1B91">
        <w:rPr>
          <w:rFonts w:ascii="Times New Roman" w:eastAsia="TimesNewRomanPSMT" w:hAnsi="Times New Roman" w:cs="Times New Roman"/>
          <w:iCs/>
          <w:sz w:val="24"/>
          <w:szCs w:val="24"/>
          <w:lang w:val="es-CO"/>
        </w:rPr>
        <w:t xml:space="preserve">; </w:t>
      </w:r>
      <w:r w:rsidR="00A545CF" w:rsidRPr="00DF1B91">
        <w:rPr>
          <w:rFonts w:ascii="Times New Roman" w:hAnsi="Times New Roman" w:cs="Times New Roman"/>
          <w:sz w:val="24"/>
          <w:szCs w:val="24"/>
        </w:rPr>
        <w:t xml:space="preserve">Letter from Rob Alderfer, CableLabs, </w:t>
      </w:r>
      <w:r w:rsidR="00A545CF" w:rsidRPr="00DF1B91">
        <w:rPr>
          <w:rFonts w:ascii="Times New Roman" w:hAnsi="Times New Roman" w:cs="Times New Roman"/>
          <w:sz w:val="24"/>
          <w:szCs w:val="24"/>
          <w:lang w:val="en-US"/>
        </w:rPr>
        <w:t>to Marlene H. Dortch, ET Docket 18-295, GN Docket 17-183, at 5-7</w:t>
      </w:r>
      <w:r w:rsidR="00A545CF" w:rsidRPr="00DF1B91">
        <w:rPr>
          <w:rFonts w:ascii="Times New Roman" w:hAnsi="Times New Roman" w:cs="Times New Roman"/>
          <w:sz w:val="24"/>
          <w:szCs w:val="24"/>
        </w:rPr>
        <w:t xml:space="preserve"> (</w:t>
      </w:r>
      <w:r w:rsidR="00CD276F" w:rsidRPr="00DF1B91">
        <w:rPr>
          <w:rFonts w:ascii="Times New Roman" w:hAnsi="Times New Roman" w:cs="Times New Roman"/>
          <w:sz w:val="24"/>
          <w:szCs w:val="24"/>
        </w:rPr>
        <w:t>March 19</w:t>
      </w:r>
      <w:r w:rsidR="00A545CF" w:rsidRPr="00DF1B91">
        <w:rPr>
          <w:rFonts w:ascii="Times New Roman" w:hAnsi="Times New Roman" w:cs="Times New Roman"/>
          <w:sz w:val="24"/>
          <w:szCs w:val="24"/>
        </w:rPr>
        <w:t>, 2020)</w:t>
      </w:r>
      <w:r w:rsidR="00B45BA9" w:rsidRPr="00DF1B91">
        <w:rPr>
          <w:rFonts w:ascii="Times New Roman" w:hAnsi="Times New Roman" w:cs="Times New Roman"/>
          <w:sz w:val="24"/>
          <w:szCs w:val="24"/>
        </w:rPr>
        <w:t xml:space="preserve">; Letter from Rob Alderfer, CableLabs, </w:t>
      </w:r>
      <w:r w:rsidR="00B45BA9" w:rsidRPr="00DF1B91">
        <w:rPr>
          <w:rFonts w:ascii="Times New Roman" w:hAnsi="Times New Roman" w:cs="Times New Roman"/>
          <w:sz w:val="24"/>
          <w:szCs w:val="24"/>
          <w:lang w:val="en-US"/>
        </w:rPr>
        <w:t>to Marlene H. Dortch, ET Docket 18-295, GN Docket 17-183, at 5-7</w:t>
      </w:r>
      <w:r w:rsidR="00B45BA9" w:rsidRPr="00DF1B91">
        <w:rPr>
          <w:rFonts w:ascii="Times New Roman" w:hAnsi="Times New Roman" w:cs="Times New Roman"/>
          <w:sz w:val="24"/>
          <w:szCs w:val="24"/>
        </w:rPr>
        <w:t xml:space="preserve"> (March 30, 2020)</w:t>
      </w:r>
      <w:r w:rsidRPr="00DF1B91">
        <w:rPr>
          <w:rFonts w:ascii="Times New Roman" w:eastAsia="TimesNewRomanPSMT" w:hAnsi="Times New Roman" w:cs="Times New Roman"/>
          <w:sz w:val="24"/>
          <w:szCs w:val="24"/>
          <w:lang w:val="es-CO"/>
        </w:rPr>
        <w:t>.</w:t>
      </w:r>
    </w:p>
  </w:footnote>
  <w:footnote w:id="27">
    <w:p w14:paraId="0052F207" w14:textId="3A79CB67" w:rsidR="006779A3" w:rsidRPr="00DF1B91" w:rsidRDefault="006779A3">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Report and Order</w:t>
      </w:r>
      <w:r w:rsidRPr="00DF1B91">
        <w:rPr>
          <w:rFonts w:ascii="Times New Roman" w:hAnsi="Times New Roman" w:cs="Times New Roman"/>
          <w:sz w:val="24"/>
          <w:szCs w:val="24"/>
          <w:lang w:val="en-US"/>
        </w:rPr>
        <w:t xml:space="preserve"> at ¶ 118.</w:t>
      </w:r>
    </w:p>
  </w:footnote>
  <w:footnote w:id="28">
    <w:p w14:paraId="66DF6035" w14:textId="5033A577" w:rsidR="0066608B" w:rsidRPr="00DF1B91" w:rsidRDefault="0066608B">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Id</w:t>
      </w:r>
      <w:r w:rsidRPr="00DF1B91">
        <w:rPr>
          <w:rFonts w:ascii="Times New Roman" w:hAnsi="Times New Roman" w:cs="Times New Roman"/>
          <w:sz w:val="24"/>
          <w:szCs w:val="24"/>
          <w:lang w:val="en-US"/>
        </w:rPr>
        <w:t>. at ¶ 119.</w:t>
      </w:r>
    </w:p>
  </w:footnote>
  <w:footnote w:id="29">
    <w:p w14:paraId="61640EA1" w14:textId="3CB7CECA" w:rsidR="00091C3A" w:rsidRPr="00DF1B91" w:rsidRDefault="00091C3A">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00EA1DC7" w:rsidRPr="00DF1B91">
        <w:rPr>
          <w:rFonts w:ascii="Times New Roman" w:hAnsi="Times New Roman" w:cs="Times New Roman"/>
          <w:i/>
          <w:sz w:val="24"/>
          <w:szCs w:val="24"/>
          <w:lang w:val="en-US"/>
        </w:rPr>
        <w:t>See Cable March 25 Ex Parte</w:t>
      </w:r>
      <w:r w:rsidR="00EA1DC7" w:rsidRPr="00DF1B91">
        <w:rPr>
          <w:rFonts w:ascii="Times New Roman" w:hAnsi="Times New Roman" w:cs="Times New Roman"/>
          <w:sz w:val="24"/>
          <w:szCs w:val="24"/>
          <w:lang w:val="en-US"/>
        </w:rPr>
        <w:t xml:space="preserve">, </w:t>
      </w:r>
      <w:r w:rsidR="00EA1DC7" w:rsidRPr="00DF1B91">
        <w:rPr>
          <w:rFonts w:ascii="Times New Roman" w:hAnsi="Times New Roman" w:cs="Times New Roman"/>
          <w:i/>
          <w:sz w:val="24"/>
          <w:szCs w:val="24"/>
          <w:lang w:val="en-US"/>
        </w:rPr>
        <w:t>supra</w:t>
      </w:r>
      <w:r w:rsidR="00EA1DC7" w:rsidRPr="00DF1B91">
        <w:rPr>
          <w:rFonts w:ascii="Times New Roman" w:hAnsi="Times New Roman" w:cs="Times New Roman"/>
          <w:sz w:val="24"/>
          <w:szCs w:val="24"/>
          <w:lang w:val="en-US"/>
        </w:rPr>
        <w:t>,</w:t>
      </w:r>
      <w:r w:rsidR="00EA1DC7" w:rsidRPr="00DF1B91">
        <w:rPr>
          <w:rFonts w:ascii="Times New Roman" w:hAnsi="Times New Roman" w:cs="Times New Roman"/>
          <w:i/>
          <w:sz w:val="24"/>
          <w:szCs w:val="24"/>
          <w:lang w:val="en-US"/>
        </w:rPr>
        <w:t xml:space="preserve"> </w:t>
      </w:r>
      <w:r w:rsidRPr="00DF1B91">
        <w:rPr>
          <w:rFonts w:ascii="Times New Roman" w:hAnsi="Times New Roman" w:cs="Times New Roman"/>
          <w:sz w:val="24"/>
          <w:szCs w:val="24"/>
          <w:lang w:val="en-US"/>
        </w:rPr>
        <w:t>at 2-3 (</w:t>
      </w:r>
      <w:r w:rsidRPr="00DF1B91">
        <w:rPr>
          <w:rFonts w:ascii="Times New Roman" w:hAnsi="Times New Roman" w:cs="Times New Roman"/>
          <w:sz w:val="24"/>
          <w:szCs w:val="24"/>
        </w:rPr>
        <w:t>“LPI Wi-Fi operation, even in worst-case scenarios, will maintain FS link reliability and will not cause harmful interference to FS, even at a conservative -6 dB I/N threshold.”)</w:t>
      </w:r>
      <w:r w:rsidRPr="00DF1B91">
        <w:rPr>
          <w:rFonts w:ascii="Times New Roman" w:hAnsi="Times New Roman" w:cs="Times New Roman"/>
          <w:sz w:val="24"/>
          <w:szCs w:val="24"/>
          <w:lang w:val="en-US"/>
        </w:rPr>
        <w:t xml:space="preserve"> and studies referenced therein.</w:t>
      </w:r>
    </w:p>
  </w:footnote>
  <w:footnote w:id="30">
    <w:p w14:paraId="4109412A" w14:textId="19BA92EA" w:rsidR="008478E9" w:rsidRPr="00DF1B91" w:rsidRDefault="008478E9" w:rsidP="008478E9">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Id</w:t>
      </w:r>
      <w:r w:rsidRPr="00DF1B91">
        <w:rPr>
          <w:rFonts w:ascii="Times New Roman" w:hAnsi="Times New Roman" w:cs="Times New Roman"/>
          <w:sz w:val="24"/>
          <w:szCs w:val="24"/>
        </w:rPr>
        <w:t xml:space="preserve">. at ¶ 142. “The data that CableLabs submitted, collected from 500,000 Wi-Fi access points, shows that 95% of access points have an activity factor of less than 2% and only 1% of access points are active more than 7% of the time. This illustrates that most of the time a particular access point will not be transmitting.” </w:t>
      </w:r>
      <w:r w:rsidRPr="00DF1B91">
        <w:rPr>
          <w:rFonts w:ascii="Times New Roman" w:hAnsi="Times New Roman" w:cs="Times New Roman"/>
          <w:i/>
          <w:sz w:val="24"/>
          <w:szCs w:val="24"/>
        </w:rPr>
        <w:t>Id</w:t>
      </w:r>
      <w:r w:rsidRPr="00DF1B91">
        <w:rPr>
          <w:rFonts w:ascii="Times New Roman" w:hAnsi="Times New Roman" w:cs="Times New Roman"/>
          <w:sz w:val="24"/>
          <w:szCs w:val="24"/>
        </w:rPr>
        <w:t xml:space="preserve">. at ¶ 141, citing </w:t>
      </w:r>
      <w:r w:rsidRPr="00DF1B91">
        <w:rPr>
          <w:rFonts w:ascii="Times New Roman" w:hAnsi="Times New Roman" w:cs="Times New Roman"/>
          <w:i/>
          <w:sz w:val="24"/>
          <w:szCs w:val="24"/>
          <w:lang w:val="en-US"/>
        </w:rPr>
        <w:t>CableLabs Dec. 20, 2019</w:t>
      </w:r>
      <w:r w:rsidRPr="00DF1B91">
        <w:rPr>
          <w:rFonts w:ascii="Times New Roman" w:hAnsi="Times New Roman" w:cs="Times New Roman"/>
          <w:sz w:val="24"/>
          <w:szCs w:val="24"/>
          <w:lang w:val="en-US"/>
        </w:rPr>
        <w:t xml:space="preserve">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at 4-5 (finding weighted average activity factor is 0.4%).</w:t>
      </w:r>
    </w:p>
  </w:footnote>
  <w:footnote w:id="31">
    <w:p w14:paraId="1B15B8E2" w14:textId="77777777" w:rsidR="008478E9" w:rsidRPr="00DF1B91" w:rsidRDefault="008478E9" w:rsidP="008478E9">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Id</w:t>
      </w:r>
      <w:r w:rsidRPr="00DF1B91">
        <w:rPr>
          <w:rFonts w:ascii="Times New Roman" w:hAnsi="Times New Roman" w:cs="Times New Roman"/>
          <w:sz w:val="24"/>
          <w:szCs w:val="24"/>
        </w:rPr>
        <w:t>. at ¶ 143.</w:t>
      </w:r>
    </w:p>
  </w:footnote>
  <w:footnote w:id="32">
    <w:p w14:paraId="4DC631CE" w14:textId="7837C222" w:rsidR="006A51AF" w:rsidRPr="00DF1B91" w:rsidRDefault="006A51AF">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Ibid</w:t>
      </w:r>
      <w:r w:rsidRPr="00DF1B91">
        <w:rPr>
          <w:rFonts w:ascii="Times New Roman" w:hAnsi="Times New Roman" w:cs="Times New Roman"/>
          <w:sz w:val="24"/>
          <w:szCs w:val="24"/>
          <w:lang w:val="en-US"/>
        </w:rPr>
        <w:t>.</w:t>
      </w:r>
    </w:p>
  </w:footnote>
  <w:footnote w:id="33">
    <w:p w14:paraId="2B627AAA" w14:textId="77777777" w:rsidR="008478E9" w:rsidRPr="00DF1B91" w:rsidRDefault="008478E9" w:rsidP="008478E9">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See, e.g.</w:t>
      </w:r>
      <w:r w:rsidRPr="00DF1B91">
        <w:rPr>
          <w:rFonts w:ascii="Times New Roman" w:hAnsi="Times New Roman" w:cs="Times New Roman"/>
          <w:sz w:val="24"/>
          <w:szCs w:val="24"/>
          <w:lang w:val="en-US"/>
        </w:rPr>
        <w:t>, Presentation attached to Letter from Paul Margie to Marlene H. Dortch, ET Docket 18-295, GN Docket 17-183, at 2-3 (Oct. 7, 2019) (study shows that “the effect of RLAN devices on fixed-service receivers, even accounting for rare deep-fade events, is minimal and does not rise to the level of harmful interference.”).</w:t>
      </w:r>
    </w:p>
  </w:footnote>
  <w:footnote w:id="34">
    <w:p w14:paraId="23EC26B4" w14:textId="0984D928" w:rsidR="00450125" w:rsidRPr="00DF1B91" w:rsidRDefault="00450125" w:rsidP="0045012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Chris Szymanski and Vinko Erceg, “Supplemental Link Margin Analysis,” Broadcom, Letter from Paul Caritj, counsel to Broadcom, </w:t>
      </w:r>
      <w:r w:rsidRPr="00DF1B91">
        <w:rPr>
          <w:rFonts w:ascii="Times New Roman" w:hAnsi="Times New Roman" w:cs="Times New Roman"/>
          <w:sz w:val="24"/>
          <w:szCs w:val="24"/>
          <w:lang w:val="en-US"/>
        </w:rPr>
        <w:t>to Marlene H. Dortch, ET Docket 18-295, GN Docket 17-183</w:t>
      </w:r>
      <w:r w:rsidRPr="00DF1B91">
        <w:rPr>
          <w:rFonts w:ascii="Times New Roman" w:hAnsi="Times New Roman" w:cs="Times New Roman"/>
          <w:sz w:val="24"/>
          <w:szCs w:val="24"/>
        </w:rPr>
        <w:t xml:space="preserve"> (</w:t>
      </w:r>
      <w:r w:rsidR="00507593" w:rsidRPr="00DF1B91">
        <w:rPr>
          <w:rFonts w:ascii="Times New Roman" w:hAnsi="Times New Roman" w:cs="Times New Roman"/>
          <w:sz w:val="24"/>
          <w:szCs w:val="24"/>
        </w:rPr>
        <w:t>March 29, 20</w:t>
      </w:r>
      <w:r w:rsidRPr="00DF1B91">
        <w:rPr>
          <w:rFonts w:ascii="Times New Roman" w:hAnsi="Times New Roman" w:cs="Times New Roman"/>
          <w:sz w:val="24"/>
          <w:szCs w:val="24"/>
        </w:rPr>
        <w:t xml:space="preserve">19) (“Broadcom Link Margin Analysis”). </w:t>
      </w:r>
      <w:r w:rsidRPr="00DF1B91">
        <w:rPr>
          <w:rFonts w:ascii="Times New Roman" w:hAnsi="Times New Roman" w:cs="Times New Roman"/>
          <w:i/>
          <w:sz w:val="24"/>
          <w:szCs w:val="24"/>
        </w:rPr>
        <w:t xml:space="preserve">See also </w:t>
      </w:r>
      <w:r w:rsidRPr="00DF1B91">
        <w:rPr>
          <w:rFonts w:ascii="Times New Roman" w:hAnsi="Times New Roman" w:cs="Times New Roman"/>
          <w:sz w:val="24"/>
          <w:szCs w:val="24"/>
        </w:rPr>
        <w:t>Letter from Apple, Broadcom, Cisco, et al.</w:t>
      </w:r>
      <w:r w:rsidRPr="00DF1B91">
        <w:rPr>
          <w:rFonts w:ascii="Times New Roman" w:hAnsi="Times New Roman" w:cs="Times New Roman"/>
          <w:sz w:val="24"/>
          <w:szCs w:val="24"/>
          <w:lang w:val="en-US"/>
        </w:rPr>
        <w:t xml:space="preserve"> to Marlene H. Dortch, ET Docket 18-295, GN Docket 17-183, at</w:t>
      </w:r>
      <w:r w:rsidRPr="00DF1B91">
        <w:rPr>
          <w:rFonts w:ascii="Times New Roman" w:hAnsi="Times New Roman" w:cs="Times New Roman"/>
          <w:sz w:val="24"/>
          <w:szCs w:val="24"/>
        </w:rPr>
        <w:t xml:space="preserve"> 7 (Sept. 25, 2019) (applying industry-standard link planning algorithms shows virtually all FS links have more margin than required).</w:t>
      </w:r>
    </w:p>
  </w:footnote>
  <w:footnote w:id="35">
    <w:p w14:paraId="35959E02" w14:textId="77777777" w:rsidR="00450125" w:rsidRPr="00DF1B91" w:rsidRDefault="00450125" w:rsidP="0045012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Broadcom Link Margin Analysis</w:t>
      </w:r>
      <w:r w:rsidRPr="00DF1B91">
        <w:rPr>
          <w:rFonts w:ascii="Times New Roman" w:hAnsi="Times New Roman" w:cs="Times New Roman"/>
          <w:sz w:val="24"/>
          <w:szCs w:val="24"/>
        </w:rPr>
        <w:t xml:space="preserve"> at 1.</w:t>
      </w:r>
    </w:p>
  </w:footnote>
  <w:footnote w:id="36">
    <w:p w14:paraId="47DB8BAB" w14:textId="58C0BDED" w:rsidR="00450125" w:rsidRPr="00DF1B91" w:rsidRDefault="00450125" w:rsidP="0045012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CableLabs, “6 GHz Low Power Indoor (LPI) Wi-Fi / Fixed Service Coexistence Study,” attached to </w:t>
      </w:r>
      <w:r w:rsidR="00507593" w:rsidRPr="00DF1B91">
        <w:rPr>
          <w:rFonts w:ascii="Times New Roman" w:hAnsi="Times New Roman" w:cs="Times New Roman"/>
          <w:i/>
          <w:sz w:val="24"/>
          <w:szCs w:val="24"/>
        </w:rPr>
        <w:t xml:space="preserve">CableLabs Dec. 20 Ex Parte </w:t>
      </w:r>
      <w:r w:rsidRPr="00DF1B91">
        <w:rPr>
          <w:rFonts w:ascii="Times New Roman" w:hAnsi="Times New Roman" w:cs="Times New Roman"/>
          <w:sz w:val="24"/>
          <w:szCs w:val="24"/>
        </w:rPr>
        <w:t>(sensitivity analysis demonstrating that even in unproven corner cases in which a Wi-Fi AP caused an unrealistically high 10 or 20 dB noise rise - which was not observed in CableLabs’ simulation - there would be no impact on the Fixed Service).</w:t>
      </w:r>
    </w:p>
  </w:footnote>
  <w:footnote w:id="37">
    <w:p w14:paraId="36F9D51A" w14:textId="3A7C32A6" w:rsidR="000671EC" w:rsidRPr="00DF1B91" w:rsidRDefault="000671EC" w:rsidP="006779A3">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RKF Engineering Services, </w:t>
      </w:r>
      <w:r w:rsidRPr="00DF1B91">
        <w:rPr>
          <w:rFonts w:ascii="Times New Roman" w:hAnsi="Times New Roman" w:cs="Times New Roman"/>
          <w:i/>
          <w:sz w:val="24"/>
          <w:szCs w:val="24"/>
        </w:rPr>
        <w:t>Frequency Sharing for Radio Local Area Networks in the 6 GHz Band</w:t>
      </w:r>
      <w:r w:rsidRPr="00DF1B91">
        <w:rPr>
          <w:rFonts w:ascii="Times New Roman" w:hAnsi="Times New Roman" w:cs="Times New Roman"/>
          <w:sz w:val="24"/>
          <w:szCs w:val="24"/>
        </w:rPr>
        <w:t xml:space="preserve"> 24-26,</w:t>
      </w:r>
      <w:r w:rsidRPr="00DF1B91">
        <w:rPr>
          <w:rFonts w:ascii="Times New Roman" w:eastAsia="Times New Roman" w:hAnsi="Times New Roman" w:cs="Times New Roman"/>
          <w:color w:val="000000"/>
          <w:sz w:val="24"/>
          <w:szCs w:val="24"/>
          <w:lang w:val="en-US"/>
        </w:rPr>
        <w:t xml:space="preserve"> at 17-23</w:t>
      </w:r>
      <w:r w:rsidRPr="00DF1B91">
        <w:rPr>
          <w:rFonts w:ascii="Times New Roman" w:hAnsi="Times New Roman" w:cs="Times New Roman"/>
          <w:sz w:val="24"/>
          <w:szCs w:val="24"/>
        </w:rPr>
        <w:t xml:space="preserve"> (Jan. 2018) (“RKF Study”), </w:t>
      </w:r>
      <w:r w:rsidRPr="00DF1B91">
        <w:rPr>
          <w:rFonts w:ascii="Times New Roman" w:hAnsi="Times New Roman" w:cs="Times New Roman"/>
          <w:i/>
          <w:sz w:val="24"/>
          <w:szCs w:val="24"/>
        </w:rPr>
        <w:t>attached to</w:t>
      </w:r>
      <w:r w:rsidRPr="00DF1B91">
        <w:rPr>
          <w:rFonts w:ascii="Times New Roman" w:hAnsi="Times New Roman" w:cs="Times New Roman"/>
          <w:sz w:val="24"/>
          <w:szCs w:val="24"/>
        </w:rPr>
        <w:t xml:space="preserve"> Letter from Paul Margie, Counsel, Apple Inc., Broadcom Corporation, Facebook, Hewlett Packard Enterprise, and Microsoft Corp. to Marlene H. Dortch, Secretary, Federal Communications Commission, GN Docket No. 17-183,  (filed Jan. 26, 2018).</w:t>
      </w:r>
      <w:r w:rsidRPr="00DF1B91">
        <w:rPr>
          <w:rFonts w:ascii="Times New Roman" w:eastAsia="Times New Roman" w:hAnsi="Times New Roman" w:cs="Times New Roman"/>
          <w:color w:val="000000"/>
          <w:sz w:val="24"/>
          <w:szCs w:val="24"/>
          <w:lang w:val="en-US"/>
        </w:rPr>
        <w:t xml:space="preserve"> </w:t>
      </w:r>
    </w:p>
  </w:footnote>
  <w:footnote w:id="38">
    <w:p w14:paraId="6DFE655D" w14:textId="711B5B6D" w:rsidR="000671EC" w:rsidRPr="00DF1B91" w:rsidRDefault="000671EC">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Ibid</w:t>
      </w:r>
      <w:r w:rsidRPr="00DF1B91">
        <w:rPr>
          <w:rFonts w:ascii="Times New Roman" w:hAnsi="Times New Roman" w:cs="Times New Roman"/>
          <w:sz w:val="24"/>
          <w:szCs w:val="24"/>
        </w:rPr>
        <w:t>.</w:t>
      </w:r>
    </w:p>
  </w:footnote>
  <w:footnote w:id="39">
    <w:p w14:paraId="763D4711" w14:textId="77777777" w:rsidR="000671EC" w:rsidRPr="00DF1B91" w:rsidRDefault="000671EC" w:rsidP="00C80AC9">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See</w:t>
      </w:r>
      <w:r w:rsidRPr="00DF1B91">
        <w:rPr>
          <w:rFonts w:ascii="Times New Roman" w:hAnsi="Times New Roman" w:cs="Times New Roman"/>
          <w:sz w:val="24"/>
          <w:szCs w:val="24"/>
        </w:rPr>
        <w:t xml:space="preserve"> Letter from Apple Inc., Broadcom, Inc., Cisco Systems, Inc., Facebook, Inc., Google LLC, Hewlett Packard Enterprise, Intel Corporation, Microsoft Corporation, Qualcomm Incorporated, and Ruckus Networks, an ARRIS Company to Marlene H. Dortch, Secretary, Federal Communications Commission, </w:t>
      </w:r>
      <w:r w:rsidRPr="00DF1B91">
        <w:rPr>
          <w:rFonts w:ascii="Times New Roman" w:hAnsi="Times New Roman" w:cs="Times New Roman"/>
          <w:sz w:val="24"/>
          <w:szCs w:val="24"/>
          <w:lang w:val="en-US"/>
        </w:rPr>
        <w:t xml:space="preserve">GN Docket No. 17-183, at 9 (filed May 14, 2018). </w:t>
      </w:r>
    </w:p>
    <w:p w14:paraId="4A639566" w14:textId="4B6E9228" w:rsidR="000671EC" w:rsidRPr="00DF1B91" w:rsidRDefault="000671EC">
      <w:pPr>
        <w:pStyle w:val="FootnoteText"/>
        <w:rPr>
          <w:rFonts w:ascii="Times New Roman" w:hAnsi="Times New Roman" w:cs="Times New Roman"/>
          <w:sz w:val="24"/>
          <w:szCs w:val="24"/>
          <w:lang w:val="en-US"/>
        </w:rPr>
      </w:pPr>
    </w:p>
  </w:footnote>
  <w:footnote w:id="40">
    <w:p w14:paraId="12F97E47" w14:textId="7F2029B5" w:rsidR="000671EC" w:rsidRPr="00DF1B91" w:rsidRDefault="000671EC" w:rsidP="006D7B7A">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006657A9" w:rsidRPr="00DF1B91">
        <w:rPr>
          <w:rFonts w:ascii="Times New Roman" w:hAnsi="Times New Roman" w:cs="Times New Roman"/>
          <w:i/>
          <w:iCs/>
          <w:sz w:val="24"/>
          <w:szCs w:val="24"/>
        </w:rPr>
        <w:t>See I</w:t>
      </w:r>
      <w:r w:rsidRPr="00DF1B91">
        <w:rPr>
          <w:rFonts w:ascii="Times New Roman" w:hAnsi="Times New Roman" w:cs="Times New Roman"/>
          <w:i/>
          <w:iCs/>
          <w:sz w:val="24"/>
          <w:szCs w:val="24"/>
        </w:rPr>
        <w:t>d.</w:t>
      </w:r>
    </w:p>
  </w:footnote>
  <w:footnote w:id="41">
    <w:p w14:paraId="62E76780" w14:textId="77777777" w:rsidR="000671EC" w:rsidRPr="00DF1B91" w:rsidRDefault="000671EC" w:rsidP="006D7B7A">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iCs/>
          <w:sz w:val="24"/>
          <w:szCs w:val="24"/>
        </w:rPr>
        <w:t>Id.</w:t>
      </w:r>
    </w:p>
  </w:footnote>
  <w:footnote w:id="42">
    <w:p w14:paraId="4D4EEA9C" w14:textId="77777777" w:rsidR="000671EC" w:rsidRPr="00DF1B91" w:rsidRDefault="000671EC" w:rsidP="006C7C60">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Section 15.407(a)(1(iii) is the rule for fixed point-to-point operations in the 5.15-5.25 GHz U-NII-1 band, and Section 15.407(a)(3) is the rule for fixed point-to-point operations in the 5.725-5.85 GHz U-NII-3 band.   </w:t>
      </w:r>
    </w:p>
  </w:footnote>
  <w:footnote w:id="43">
    <w:p w14:paraId="1CF2FB63" w14:textId="77777777" w:rsidR="000671EC" w:rsidRPr="00DF1B91" w:rsidRDefault="000671EC" w:rsidP="00A80080">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iCs/>
          <w:sz w:val="24"/>
          <w:szCs w:val="24"/>
        </w:rPr>
        <w:t>NPRM</w:t>
      </w:r>
      <w:r w:rsidRPr="00DF1B91">
        <w:rPr>
          <w:rFonts w:ascii="Times New Roman" w:hAnsi="Times New Roman" w:cs="Times New Roman"/>
          <w:sz w:val="24"/>
          <w:szCs w:val="24"/>
        </w:rPr>
        <w:t xml:space="preserve"> at ¶ 254.</w:t>
      </w:r>
    </w:p>
  </w:footnote>
  <w:footnote w:id="44">
    <w:p w14:paraId="6953A124" w14:textId="77777777" w:rsidR="000671EC" w:rsidRPr="00DF1B91" w:rsidRDefault="000671EC" w:rsidP="00B97C4F">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iCs/>
          <w:sz w:val="24"/>
          <w:szCs w:val="24"/>
          <w:lang w:val="en-US"/>
        </w:rPr>
        <w:t xml:space="preserve">See </w:t>
      </w:r>
      <w:r w:rsidRPr="00DF1B91">
        <w:rPr>
          <w:rFonts w:ascii="Times New Roman" w:hAnsi="Times New Roman" w:cs="Times New Roman"/>
          <w:sz w:val="24"/>
          <w:szCs w:val="24"/>
          <w:lang w:val="en-US"/>
        </w:rPr>
        <w:t xml:space="preserve">Broadband Access Coalition, Notice of Oral </w:t>
      </w:r>
      <w:r w:rsidRPr="00DF1B91">
        <w:rPr>
          <w:rFonts w:ascii="Times New Roman" w:hAnsi="Times New Roman" w:cs="Times New Roman"/>
          <w:i/>
          <w:iCs/>
          <w:sz w:val="24"/>
          <w:szCs w:val="24"/>
          <w:lang w:val="en-US"/>
        </w:rPr>
        <w:t xml:space="preserve">Ex Parte </w:t>
      </w:r>
      <w:r w:rsidRPr="00DF1B91">
        <w:rPr>
          <w:rFonts w:ascii="Times New Roman" w:hAnsi="Times New Roman" w:cs="Times New Roman"/>
          <w:sz w:val="24"/>
          <w:szCs w:val="24"/>
          <w:lang w:val="en-US"/>
        </w:rPr>
        <w:t xml:space="preserve">Presentation, GN Docket 17-183 and RM-11791 (March 29, 2018). The technical analysis and presentation to FCC staff is at: </w:t>
      </w:r>
      <w:hyperlink r:id="rId6" w:history="1">
        <w:r w:rsidRPr="00DF1B91">
          <w:rPr>
            <w:rStyle w:val="Hyperlink"/>
            <w:rFonts w:ascii="Times New Roman" w:hAnsi="Times New Roman" w:cs="Times New Roman"/>
            <w:sz w:val="24"/>
            <w:szCs w:val="24"/>
          </w:rPr>
          <w:t>https://newamericadotorg.s3.amazonaws.com/documents/BAC_Google_FCC_Technical_Preso_P2MP-FSS_Coex_FINAL_032718_1.pdf</w:t>
        </w:r>
      </w:hyperlink>
      <w:r w:rsidRPr="00DF1B91">
        <w:rPr>
          <w:rFonts w:ascii="Times New Roman" w:hAnsi="Times New Roman" w:cs="Times New Roman"/>
          <w:sz w:val="24"/>
          <w:szCs w:val="24"/>
        </w:rPr>
        <w:t>.</w:t>
      </w:r>
    </w:p>
  </w:footnote>
  <w:footnote w:id="45">
    <w:p w14:paraId="2B27F211" w14:textId="15502E6B" w:rsidR="000671EC" w:rsidRPr="00DF1B91" w:rsidRDefault="000671EC" w:rsidP="00F966AF">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See, e.g.</w:t>
      </w:r>
      <w:r w:rsidRPr="00DF1B91">
        <w:rPr>
          <w:rFonts w:ascii="Times New Roman" w:hAnsi="Times New Roman" w:cs="Times New Roman"/>
          <w:sz w:val="24"/>
          <w:szCs w:val="24"/>
        </w:rPr>
        <w:t>,</w:t>
      </w:r>
      <w:r w:rsidR="007F0276" w:rsidRPr="00DF1B91">
        <w:rPr>
          <w:rFonts w:ascii="Times New Roman" w:hAnsi="Times New Roman" w:cs="Times New Roman"/>
          <w:sz w:val="24"/>
          <w:szCs w:val="24"/>
        </w:rPr>
        <w:t xml:space="preserve"> Comments of the Public Interest Spectrum Coalition, ET Docket No. 20-36 (May 4, 2020)</w:t>
      </w:r>
      <w:r w:rsidR="00083302" w:rsidRPr="00DF1B91">
        <w:rPr>
          <w:rFonts w:ascii="Times New Roman" w:hAnsi="Times New Roman" w:cs="Times New Roman"/>
          <w:sz w:val="24"/>
          <w:szCs w:val="24"/>
        </w:rPr>
        <w:t xml:space="preserve"> (“PISC TVWS Comments”)</w:t>
      </w:r>
      <w:r w:rsidR="007F0276" w:rsidRPr="00DF1B91">
        <w:rPr>
          <w:rFonts w:ascii="Times New Roman" w:hAnsi="Times New Roman" w:cs="Times New Roman"/>
          <w:sz w:val="24"/>
          <w:szCs w:val="24"/>
        </w:rPr>
        <w:t xml:space="preserve">; Comments of the Broadband Connects America Coalition, ET Docket No. 20-36 (May 4, 2020); </w:t>
      </w:r>
      <w:r w:rsidRPr="00DF1B91">
        <w:rPr>
          <w:rFonts w:ascii="Times New Roman" w:hAnsi="Times New Roman" w:cs="Times New Roman"/>
          <w:sz w:val="24"/>
          <w:szCs w:val="24"/>
          <w:lang w:val="en-US"/>
        </w:rPr>
        <w:t xml:space="preserve">Comments of the Public Interest Spectrum Coalition, </w:t>
      </w:r>
      <w:r w:rsidRPr="00DF1B91">
        <w:rPr>
          <w:rFonts w:ascii="Times New Roman" w:hAnsi="Times New Roman" w:cs="Times New Roman"/>
          <w:i/>
          <w:sz w:val="24"/>
          <w:szCs w:val="24"/>
          <w:lang w:val="en-US"/>
        </w:rPr>
        <w:t xml:space="preserve">Expanding Flexible Use of the </w:t>
      </w:r>
      <w:r w:rsidRPr="00DF1B91">
        <w:rPr>
          <w:rFonts w:ascii="Times New Roman" w:eastAsia="Times New Roman" w:hAnsi="Times New Roman" w:cs="Times New Roman"/>
          <w:i/>
          <w:color w:val="000000"/>
          <w:sz w:val="24"/>
          <w:szCs w:val="24"/>
          <w:lang w:val="en-US"/>
        </w:rPr>
        <w:t>3.7 to 4.2 GHz Band</w:t>
      </w:r>
      <w:r w:rsidRPr="00DF1B91">
        <w:rPr>
          <w:rFonts w:ascii="Times New Roman" w:eastAsia="Times New Roman" w:hAnsi="Times New Roman" w:cs="Times New Roman"/>
          <w:color w:val="000000"/>
          <w:sz w:val="24"/>
          <w:szCs w:val="24"/>
          <w:lang w:val="en-US"/>
        </w:rPr>
        <w:t xml:space="preserve">, </w:t>
      </w:r>
      <w:r w:rsidRPr="00DF1B91">
        <w:rPr>
          <w:rFonts w:ascii="Times New Roman" w:hAnsi="Times New Roman" w:cs="Times New Roman"/>
          <w:sz w:val="24"/>
          <w:szCs w:val="24"/>
          <w:lang w:val="en-US"/>
        </w:rPr>
        <w:t xml:space="preserve">GN Docket Nos. 18-122 and 17-183 (Oct. 29, 2018); Comments of the Broadband Connects America Coalition, </w:t>
      </w:r>
      <w:r w:rsidRPr="00DF1B91">
        <w:rPr>
          <w:rFonts w:ascii="Times New Roman" w:hAnsi="Times New Roman" w:cs="Times New Roman"/>
          <w:i/>
          <w:sz w:val="24"/>
          <w:szCs w:val="24"/>
          <w:lang w:val="en-US"/>
        </w:rPr>
        <w:t xml:space="preserve">Expanding Flexible Use of the </w:t>
      </w:r>
      <w:r w:rsidRPr="00DF1B91">
        <w:rPr>
          <w:rFonts w:ascii="Times New Roman" w:eastAsia="Times New Roman" w:hAnsi="Times New Roman" w:cs="Times New Roman"/>
          <w:i/>
          <w:color w:val="000000"/>
          <w:sz w:val="24"/>
          <w:szCs w:val="24"/>
          <w:lang w:val="en-US"/>
        </w:rPr>
        <w:t>3.7 to 4.2 GHz Band</w:t>
      </w:r>
      <w:r w:rsidRPr="00DF1B91">
        <w:rPr>
          <w:rFonts w:ascii="Times New Roman" w:eastAsia="Times New Roman" w:hAnsi="Times New Roman" w:cs="Times New Roman"/>
          <w:color w:val="000000"/>
          <w:sz w:val="24"/>
          <w:szCs w:val="24"/>
          <w:lang w:val="en-US"/>
        </w:rPr>
        <w:t>,</w:t>
      </w:r>
      <w:r w:rsidRPr="00DF1B91">
        <w:rPr>
          <w:rFonts w:ascii="Times New Roman" w:hAnsi="Times New Roman" w:cs="Times New Roman"/>
          <w:sz w:val="24"/>
          <w:szCs w:val="24"/>
          <w:lang w:val="en-US"/>
        </w:rPr>
        <w:t xml:space="preserve"> GN Docket Nos. 18-122 and 17-183 (Oct. 29, 2018).</w:t>
      </w:r>
    </w:p>
  </w:footnote>
  <w:footnote w:id="46">
    <w:p w14:paraId="0F6E08B7" w14:textId="1871E3B7" w:rsidR="000671EC" w:rsidRPr="00DF1B91" w:rsidRDefault="000671EC" w:rsidP="00F966AF">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Federal Communications Commission, </w:t>
      </w:r>
      <w:r w:rsidRPr="00DF1B91">
        <w:rPr>
          <w:rFonts w:ascii="Times New Roman" w:hAnsi="Times New Roman" w:cs="Times New Roman"/>
          <w:i/>
          <w:sz w:val="24"/>
          <w:szCs w:val="24"/>
          <w:lang w:val="en-US"/>
        </w:rPr>
        <w:t>2018 Broadband Deployment Report</w:t>
      </w:r>
      <w:r w:rsidRPr="00DF1B91">
        <w:rPr>
          <w:rFonts w:ascii="Times New Roman" w:hAnsi="Times New Roman" w:cs="Times New Roman"/>
          <w:sz w:val="24"/>
          <w:szCs w:val="24"/>
          <w:lang w:val="en-US"/>
        </w:rPr>
        <w:t xml:space="preserve">, GN Docket No. 17-199 (Feb. 2, 2018), ¶ 50, Table 1. </w:t>
      </w:r>
    </w:p>
  </w:footnote>
  <w:footnote w:id="47">
    <w:p w14:paraId="3AABAF30" w14:textId="77777777" w:rsidR="000671EC" w:rsidRPr="00DF1B91" w:rsidRDefault="000671EC" w:rsidP="00F966AF">
      <w:pPr>
        <w:pStyle w:val="FootnoteText"/>
        <w:contextualSpacing/>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John Busby et al., “FCC Reports Broadband Unavailable to 21.3 Million Americans, BroadbandNow Study Indicates 42 Million Do Not Have Access,” BroadbandNow Research (Feb. 3, 2020), </w:t>
      </w:r>
      <w:hyperlink r:id="rId7" w:history="1">
        <w:r w:rsidRPr="00DF1B91">
          <w:rPr>
            <w:rStyle w:val="Hyperlink"/>
            <w:rFonts w:ascii="Times New Roman" w:hAnsi="Times New Roman" w:cs="Times New Roman"/>
            <w:sz w:val="24"/>
            <w:szCs w:val="24"/>
          </w:rPr>
          <w:t>https://broadbandnow.com/research/fcc-underestimates-unserved-by-50-percent</w:t>
        </w:r>
      </w:hyperlink>
      <w:r w:rsidRPr="00DF1B91">
        <w:rPr>
          <w:rFonts w:ascii="Times New Roman" w:hAnsi="Times New Roman" w:cs="Times New Roman"/>
          <w:sz w:val="24"/>
          <w:szCs w:val="24"/>
        </w:rPr>
        <w:t>.</w:t>
      </w:r>
    </w:p>
  </w:footnote>
  <w:footnote w:id="48">
    <w:p w14:paraId="676C84B9" w14:textId="77777777" w:rsidR="000671EC" w:rsidRPr="00DF1B91" w:rsidRDefault="000671EC" w:rsidP="00F966AF">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Andrew Perrin, “Digital gap between rural and nonrural America persists,” Pew Research Center (May 31, 2019), </w:t>
      </w:r>
      <w:hyperlink r:id="rId8" w:history="1">
        <w:r w:rsidRPr="00DF1B91">
          <w:rPr>
            <w:rStyle w:val="Hyperlink"/>
            <w:rFonts w:ascii="Times New Roman" w:hAnsi="Times New Roman" w:cs="Times New Roman"/>
            <w:sz w:val="24"/>
            <w:szCs w:val="24"/>
          </w:rPr>
          <w:t>https://www.pewresearch.org/fact-tank/2019/05/31/digital-gap-between-rural-and-nonrural-america-persists/</w:t>
        </w:r>
      </w:hyperlink>
      <w:r w:rsidRPr="00DF1B91">
        <w:rPr>
          <w:rFonts w:ascii="Times New Roman" w:hAnsi="Times New Roman" w:cs="Times New Roman"/>
          <w:sz w:val="24"/>
          <w:szCs w:val="24"/>
        </w:rPr>
        <w:t>.</w:t>
      </w:r>
    </w:p>
  </w:footnote>
  <w:footnote w:id="49">
    <w:p w14:paraId="0C1F7B01" w14:textId="120260E3" w:rsidR="000671EC" w:rsidRPr="00DF1B91" w:rsidRDefault="000671EC" w:rsidP="00224AC6">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sz w:val="24"/>
          <w:szCs w:val="24"/>
          <w:lang w:val="en-US"/>
        </w:rPr>
        <w:t>The Commission‘s 2016 Broadband Progress Report found that only 13% of Americans living in rural areas have more than one broadband provider, 48% have one provider, and 39% have none.</w:t>
      </w:r>
      <w:r w:rsidRPr="00DF1B91">
        <w:rPr>
          <w:rFonts w:ascii="Times New Roman" w:hAnsi="Times New Roman" w:cs="Times New Roman"/>
          <w:sz w:val="24"/>
          <w:szCs w:val="24"/>
        </w:rPr>
        <w:t xml:space="preserve"> Federal Communications Commission, </w:t>
      </w:r>
      <w:r w:rsidRPr="00DF1B91">
        <w:rPr>
          <w:rFonts w:ascii="Times New Roman" w:eastAsia="Times New Roman" w:hAnsi="Times New Roman" w:cs="Times New Roman"/>
          <w:i/>
          <w:color w:val="000000"/>
          <w:sz w:val="24"/>
          <w:szCs w:val="24"/>
          <w:lang w:val="en-US"/>
        </w:rPr>
        <w:t>2016 Broadband Progress Report</w:t>
      </w:r>
      <w:r w:rsidRPr="00DF1B91">
        <w:rPr>
          <w:rFonts w:ascii="Times New Roman" w:eastAsia="Times New Roman" w:hAnsi="Times New Roman" w:cs="Times New Roman"/>
          <w:color w:val="000000"/>
          <w:sz w:val="24"/>
          <w:szCs w:val="24"/>
          <w:lang w:val="en-US"/>
        </w:rPr>
        <w:t>, at ¶ 86, Table 6.</w:t>
      </w:r>
    </w:p>
  </w:footnote>
  <w:footnote w:id="50">
    <w:p w14:paraId="43D63240" w14:textId="6394E81C" w:rsidR="000671EC" w:rsidRPr="00DF1B91" w:rsidRDefault="000671EC" w:rsidP="00224AC6">
      <w:pPr>
        <w:spacing w:after="13" w:line="240" w:lineRule="auto"/>
        <w:ind w:left="-5" w:right="40" w:hanging="10"/>
        <w:contextualSpacing/>
        <w:rPr>
          <w:rFonts w:ascii="Times New Roman" w:eastAsia="Times New Roman" w:hAnsi="Times New Roman" w:cs="Times New Roman"/>
          <w:color w:val="000000"/>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eastAsia="Times New Roman" w:hAnsi="Times New Roman" w:cs="Times New Roman"/>
          <w:color w:val="000000"/>
          <w:sz w:val="24"/>
          <w:szCs w:val="24"/>
          <w:lang w:val="en-US"/>
        </w:rPr>
        <w:t xml:space="preserve">Sharon Strover, “Reaching rural America with broadband internet service,” </w:t>
      </w:r>
      <w:r w:rsidRPr="00DF1B91">
        <w:rPr>
          <w:rFonts w:ascii="Times New Roman" w:eastAsia="Times New Roman" w:hAnsi="Times New Roman" w:cs="Times New Roman"/>
          <w:i/>
          <w:color w:val="000000"/>
          <w:sz w:val="24"/>
          <w:szCs w:val="24"/>
          <w:lang w:val="en-US"/>
        </w:rPr>
        <w:t>PhysOrg</w:t>
      </w:r>
      <w:r w:rsidRPr="00DF1B91">
        <w:rPr>
          <w:rFonts w:ascii="Times New Roman" w:eastAsia="Times New Roman" w:hAnsi="Times New Roman" w:cs="Times New Roman"/>
          <w:color w:val="000000"/>
          <w:sz w:val="24"/>
          <w:szCs w:val="24"/>
          <w:lang w:val="en-US"/>
        </w:rPr>
        <w:t xml:space="preserve">, (Jan. 17, 2018), available at </w:t>
      </w:r>
      <w:hyperlink r:id="rId9" w:anchor="jCp" w:history="1">
        <w:r w:rsidRPr="00DF1B91">
          <w:rPr>
            <w:rFonts w:ascii="Times New Roman" w:eastAsia="Times New Roman" w:hAnsi="Times New Roman" w:cs="Times New Roman"/>
            <w:color w:val="0563C1"/>
            <w:sz w:val="24"/>
            <w:szCs w:val="24"/>
            <w:u w:val="single"/>
            <w:lang w:val="en-US"/>
          </w:rPr>
          <w:t>https://phys.org/news/2018-01-rural-america-broadband-internet.html#jCp</w:t>
        </w:r>
      </w:hyperlink>
      <w:r w:rsidR="00224AC6" w:rsidRPr="00DF1B91">
        <w:rPr>
          <w:rFonts w:ascii="Times New Roman" w:eastAsia="Times New Roman" w:hAnsi="Times New Roman" w:cs="Times New Roman"/>
          <w:color w:val="000000"/>
          <w:sz w:val="24"/>
          <w:szCs w:val="24"/>
          <w:lang w:val="en-US"/>
        </w:rPr>
        <w:t xml:space="preserve">. </w:t>
      </w:r>
    </w:p>
  </w:footnote>
  <w:footnote w:id="51">
    <w:p w14:paraId="693A1F16" w14:textId="6EF64323" w:rsidR="00224AC6" w:rsidRPr="00DF1B91" w:rsidRDefault="00224AC6">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See, e.g.</w:t>
      </w:r>
      <w:r w:rsidRPr="00DF1B91">
        <w:rPr>
          <w:rFonts w:ascii="Times New Roman" w:hAnsi="Times New Roman" w:cs="Times New Roman"/>
          <w:sz w:val="24"/>
          <w:szCs w:val="24"/>
        </w:rPr>
        <w:t xml:space="preserve"> Monica Anderson, ―Digital divide persists even as lower-income Americans make gains in tech adoption,‖ The Pew Research Center (March 22, 2017), </w:t>
      </w:r>
      <w:hyperlink r:id="rId10">
        <w:r w:rsidRPr="00DF1B91">
          <w:rPr>
            <w:rFonts w:ascii="Times New Roman" w:hAnsi="Times New Roman" w:cs="Times New Roman"/>
            <w:color w:val="0000FF"/>
            <w:sz w:val="24"/>
            <w:szCs w:val="24"/>
            <w:u w:val="single" w:color="0000FF"/>
          </w:rPr>
          <w:t>http://www.pewresearch.org/fact</w:t>
        </w:r>
      </w:hyperlink>
      <w:hyperlink r:id="rId11"/>
      <w:hyperlink r:id="rId12">
        <w:r w:rsidRPr="00DF1B91">
          <w:rPr>
            <w:rFonts w:ascii="Times New Roman" w:hAnsi="Times New Roman" w:cs="Times New Roman"/>
            <w:color w:val="0000FF"/>
            <w:sz w:val="24"/>
            <w:szCs w:val="24"/>
            <w:u w:val="single" w:color="0000FF"/>
          </w:rPr>
          <w:t>tank/2017/03/22/digital</w:t>
        </w:r>
      </w:hyperlink>
      <w:hyperlink r:id="rId13">
        <w:r w:rsidRPr="00DF1B91">
          <w:rPr>
            <w:rFonts w:ascii="Times New Roman" w:hAnsi="Times New Roman" w:cs="Times New Roman"/>
            <w:color w:val="0000FF"/>
            <w:sz w:val="24"/>
            <w:szCs w:val="24"/>
            <w:u w:val="single" w:color="0000FF"/>
          </w:rPr>
          <w:t>-</w:t>
        </w:r>
      </w:hyperlink>
      <w:hyperlink r:id="rId14">
        <w:r w:rsidRPr="00DF1B91">
          <w:rPr>
            <w:rFonts w:ascii="Times New Roman" w:hAnsi="Times New Roman" w:cs="Times New Roman"/>
            <w:color w:val="0000FF"/>
            <w:sz w:val="24"/>
            <w:szCs w:val="24"/>
            <w:u w:val="single" w:color="0000FF"/>
          </w:rPr>
          <w:t>divide</w:t>
        </w:r>
      </w:hyperlink>
      <w:hyperlink r:id="rId15">
        <w:r w:rsidRPr="00DF1B91">
          <w:rPr>
            <w:rFonts w:ascii="Times New Roman" w:hAnsi="Times New Roman" w:cs="Times New Roman"/>
            <w:color w:val="0000FF"/>
            <w:sz w:val="24"/>
            <w:szCs w:val="24"/>
            <w:u w:val="single" w:color="0000FF"/>
          </w:rPr>
          <w:t>-</w:t>
        </w:r>
      </w:hyperlink>
      <w:hyperlink r:id="rId16">
        <w:r w:rsidRPr="00DF1B91">
          <w:rPr>
            <w:rFonts w:ascii="Times New Roman" w:hAnsi="Times New Roman" w:cs="Times New Roman"/>
            <w:color w:val="0000FF"/>
            <w:sz w:val="24"/>
            <w:szCs w:val="24"/>
            <w:u w:val="single" w:color="0000FF"/>
          </w:rPr>
          <w:t>persists</w:t>
        </w:r>
      </w:hyperlink>
      <w:hyperlink r:id="rId17">
        <w:r w:rsidRPr="00DF1B91">
          <w:rPr>
            <w:rFonts w:ascii="Times New Roman" w:hAnsi="Times New Roman" w:cs="Times New Roman"/>
            <w:color w:val="0000FF"/>
            <w:sz w:val="24"/>
            <w:szCs w:val="24"/>
            <w:u w:val="single" w:color="0000FF"/>
          </w:rPr>
          <w:t>-</w:t>
        </w:r>
      </w:hyperlink>
      <w:hyperlink r:id="rId18">
        <w:r w:rsidRPr="00DF1B91">
          <w:rPr>
            <w:rFonts w:ascii="Times New Roman" w:hAnsi="Times New Roman" w:cs="Times New Roman"/>
            <w:color w:val="0000FF"/>
            <w:sz w:val="24"/>
            <w:szCs w:val="24"/>
            <w:u w:val="single" w:color="0000FF"/>
          </w:rPr>
          <w:t>even</w:t>
        </w:r>
      </w:hyperlink>
      <w:hyperlink r:id="rId19">
        <w:r w:rsidRPr="00DF1B91">
          <w:rPr>
            <w:rFonts w:ascii="Times New Roman" w:hAnsi="Times New Roman" w:cs="Times New Roman"/>
            <w:color w:val="0000FF"/>
            <w:sz w:val="24"/>
            <w:szCs w:val="24"/>
            <w:u w:val="single" w:color="0000FF"/>
          </w:rPr>
          <w:t>-</w:t>
        </w:r>
      </w:hyperlink>
      <w:hyperlink r:id="rId20">
        <w:r w:rsidRPr="00DF1B91">
          <w:rPr>
            <w:rFonts w:ascii="Times New Roman" w:hAnsi="Times New Roman" w:cs="Times New Roman"/>
            <w:color w:val="0000FF"/>
            <w:sz w:val="24"/>
            <w:szCs w:val="24"/>
            <w:u w:val="single" w:color="0000FF"/>
          </w:rPr>
          <w:t>as</w:t>
        </w:r>
      </w:hyperlink>
      <w:hyperlink r:id="rId21">
        <w:r w:rsidRPr="00DF1B91">
          <w:rPr>
            <w:rFonts w:ascii="Times New Roman" w:hAnsi="Times New Roman" w:cs="Times New Roman"/>
            <w:color w:val="0000FF"/>
            <w:sz w:val="24"/>
            <w:szCs w:val="24"/>
            <w:u w:val="single" w:color="0000FF"/>
          </w:rPr>
          <w:t>-</w:t>
        </w:r>
      </w:hyperlink>
      <w:hyperlink r:id="rId22">
        <w:r w:rsidRPr="00DF1B91">
          <w:rPr>
            <w:rFonts w:ascii="Times New Roman" w:hAnsi="Times New Roman" w:cs="Times New Roman"/>
            <w:color w:val="0000FF"/>
            <w:sz w:val="24"/>
            <w:szCs w:val="24"/>
            <w:u w:val="single" w:color="0000FF"/>
          </w:rPr>
          <w:t>lower</w:t>
        </w:r>
      </w:hyperlink>
      <w:hyperlink r:id="rId23">
        <w:r w:rsidRPr="00DF1B91">
          <w:rPr>
            <w:rFonts w:ascii="Times New Roman" w:hAnsi="Times New Roman" w:cs="Times New Roman"/>
            <w:color w:val="0000FF"/>
            <w:sz w:val="24"/>
            <w:szCs w:val="24"/>
            <w:u w:val="single" w:color="0000FF"/>
          </w:rPr>
          <w:t>-</w:t>
        </w:r>
      </w:hyperlink>
      <w:hyperlink r:id="rId24">
        <w:r w:rsidRPr="00DF1B91">
          <w:rPr>
            <w:rFonts w:ascii="Times New Roman" w:hAnsi="Times New Roman" w:cs="Times New Roman"/>
            <w:color w:val="0000FF"/>
            <w:sz w:val="24"/>
            <w:szCs w:val="24"/>
            <w:u w:val="single" w:color="0000FF"/>
          </w:rPr>
          <w:t>income</w:t>
        </w:r>
      </w:hyperlink>
      <w:hyperlink r:id="rId25">
        <w:r w:rsidRPr="00DF1B91">
          <w:rPr>
            <w:rFonts w:ascii="Times New Roman" w:hAnsi="Times New Roman" w:cs="Times New Roman"/>
            <w:color w:val="0000FF"/>
            <w:sz w:val="24"/>
            <w:szCs w:val="24"/>
            <w:u w:val="single" w:color="0000FF"/>
          </w:rPr>
          <w:t>-</w:t>
        </w:r>
      </w:hyperlink>
      <w:hyperlink r:id="rId26">
        <w:r w:rsidRPr="00DF1B91">
          <w:rPr>
            <w:rFonts w:ascii="Times New Roman" w:hAnsi="Times New Roman" w:cs="Times New Roman"/>
            <w:color w:val="0000FF"/>
            <w:sz w:val="24"/>
            <w:szCs w:val="24"/>
            <w:u w:val="single" w:color="0000FF"/>
          </w:rPr>
          <w:t>americans</w:t>
        </w:r>
      </w:hyperlink>
      <w:hyperlink r:id="rId27">
        <w:r w:rsidRPr="00DF1B91">
          <w:rPr>
            <w:rFonts w:ascii="Times New Roman" w:hAnsi="Times New Roman" w:cs="Times New Roman"/>
            <w:color w:val="0000FF"/>
            <w:sz w:val="24"/>
            <w:szCs w:val="24"/>
            <w:u w:val="single" w:color="0000FF"/>
          </w:rPr>
          <w:t>-</w:t>
        </w:r>
      </w:hyperlink>
      <w:hyperlink r:id="rId28">
        <w:r w:rsidRPr="00DF1B91">
          <w:rPr>
            <w:rFonts w:ascii="Times New Roman" w:hAnsi="Times New Roman" w:cs="Times New Roman"/>
            <w:color w:val="0000FF"/>
            <w:sz w:val="24"/>
            <w:szCs w:val="24"/>
            <w:u w:val="single" w:color="0000FF"/>
          </w:rPr>
          <w:t>make</w:t>
        </w:r>
      </w:hyperlink>
      <w:hyperlink r:id="rId29">
        <w:r w:rsidRPr="00DF1B91">
          <w:rPr>
            <w:rFonts w:ascii="Times New Roman" w:hAnsi="Times New Roman" w:cs="Times New Roman"/>
            <w:color w:val="0000FF"/>
            <w:sz w:val="24"/>
            <w:szCs w:val="24"/>
            <w:u w:val="single" w:color="0000FF"/>
          </w:rPr>
          <w:t>-</w:t>
        </w:r>
      </w:hyperlink>
      <w:hyperlink r:id="rId30">
        <w:r w:rsidRPr="00DF1B91">
          <w:rPr>
            <w:rFonts w:ascii="Times New Roman" w:hAnsi="Times New Roman" w:cs="Times New Roman"/>
            <w:color w:val="0000FF"/>
            <w:sz w:val="24"/>
            <w:szCs w:val="24"/>
            <w:u w:val="single" w:color="0000FF"/>
          </w:rPr>
          <w:t>gains</w:t>
        </w:r>
      </w:hyperlink>
      <w:hyperlink r:id="rId31">
        <w:r w:rsidRPr="00DF1B91">
          <w:rPr>
            <w:rFonts w:ascii="Times New Roman" w:hAnsi="Times New Roman" w:cs="Times New Roman"/>
            <w:color w:val="0000FF"/>
            <w:sz w:val="24"/>
            <w:szCs w:val="24"/>
            <w:u w:val="single" w:color="0000FF"/>
          </w:rPr>
          <w:t>-</w:t>
        </w:r>
      </w:hyperlink>
      <w:hyperlink r:id="rId32">
        <w:r w:rsidRPr="00DF1B91">
          <w:rPr>
            <w:rFonts w:ascii="Times New Roman" w:hAnsi="Times New Roman" w:cs="Times New Roman"/>
            <w:color w:val="0000FF"/>
            <w:sz w:val="24"/>
            <w:szCs w:val="24"/>
            <w:u w:val="single" w:color="0000FF"/>
          </w:rPr>
          <w:t>in</w:t>
        </w:r>
      </w:hyperlink>
      <w:hyperlink r:id="rId33">
        <w:r w:rsidRPr="00DF1B91">
          <w:rPr>
            <w:rFonts w:ascii="Times New Roman" w:hAnsi="Times New Roman" w:cs="Times New Roman"/>
            <w:color w:val="0000FF"/>
            <w:sz w:val="24"/>
            <w:szCs w:val="24"/>
            <w:u w:val="single" w:color="0000FF"/>
          </w:rPr>
          <w:t>-</w:t>
        </w:r>
      </w:hyperlink>
      <w:hyperlink r:id="rId34">
        <w:r w:rsidRPr="00DF1B91">
          <w:rPr>
            <w:rFonts w:ascii="Times New Roman" w:hAnsi="Times New Roman" w:cs="Times New Roman"/>
            <w:color w:val="0000FF"/>
            <w:sz w:val="24"/>
            <w:szCs w:val="24"/>
            <w:u w:val="single" w:color="0000FF"/>
          </w:rPr>
          <w:t>tech</w:t>
        </w:r>
      </w:hyperlink>
      <w:hyperlink r:id="rId35">
        <w:r w:rsidRPr="00DF1B91">
          <w:rPr>
            <w:rFonts w:ascii="Times New Roman" w:hAnsi="Times New Roman" w:cs="Times New Roman"/>
            <w:color w:val="0000FF"/>
            <w:sz w:val="24"/>
            <w:szCs w:val="24"/>
            <w:u w:val="single" w:color="0000FF"/>
          </w:rPr>
          <w:t>-</w:t>
        </w:r>
      </w:hyperlink>
      <w:hyperlink r:id="rId36">
        <w:r w:rsidRPr="00DF1B91">
          <w:rPr>
            <w:rFonts w:ascii="Times New Roman" w:hAnsi="Times New Roman" w:cs="Times New Roman"/>
            <w:color w:val="0000FF"/>
            <w:sz w:val="24"/>
            <w:szCs w:val="24"/>
            <w:u w:val="single" w:color="0000FF"/>
          </w:rPr>
          <w:t>adoption/</w:t>
        </w:r>
      </w:hyperlink>
      <w:hyperlink r:id="rId37">
        <w:r w:rsidRPr="00DF1B91">
          <w:rPr>
            <w:rFonts w:ascii="Times New Roman" w:hAnsi="Times New Roman" w:cs="Times New Roman"/>
            <w:color w:val="0000FF"/>
            <w:sz w:val="24"/>
            <w:szCs w:val="24"/>
            <w:u w:val="single" w:color="0000FF"/>
          </w:rPr>
          <w:t>;</w:t>
        </w:r>
      </w:hyperlink>
      <w:r w:rsidRPr="00DF1B91">
        <w:rPr>
          <w:rFonts w:ascii="Times New Roman" w:hAnsi="Times New Roman" w:cs="Times New Roman"/>
          <w:color w:val="0000FF"/>
          <w:sz w:val="24"/>
          <w:szCs w:val="24"/>
        </w:rPr>
        <w:t xml:space="preserve"> </w:t>
      </w:r>
      <w:r w:rsidRPr="00DF1B91">
        <w:rPr>
          <w:rFonts w:ascii="Times New Roman" w:hAnsi="Times New Roman" w:cs="Times New Roman"/>
          <w:sz w:val="24"/>
          <w:szCs w:val="24"/>
        </w:rPr>
        <w:t>Amina Fazlullah,</w:t>
      </w:r>
      <w:r w:rsidRPr="00DF1B91">
        <w:rPr>
          <w:rFonts w:ascii="Times New Roman" w:hAnsi="Times New Roman" w:cs="Times New Roman"/>
          <w:i/>
          <w:sz w:val="24"/>
          <w:szCs w:val="24"/>
        </w:rPr>
        <w:t xml:space="preserve"> </w:t>
      </w:r>
      <w:r w:rsidRPr="00DF1B91">
        <w:rPr>
          <w:rFonts w:ascii="Times New Roman" w:hAnsi="Times New Roman" w:cs="Times New Roman"/>
          <w:sz w:val="24"/>
          <w:szCs w:val="24"/>
        </w:rPr>
        <w:t xml:space="preserve">―Research Shows Cost is Biggest Barrier to Broadband Adoption,‖ Benton Blog (Jan. 11, 2016), </w:t>
      </w:r>
      <w:hyperlink r:id="rId38">
        <w:r w:rsidRPr="00DF1B91">
          <w:rPr>
            <w:rFonts w:ascii="Times New Roman" w:hAnsi="Times New Roman" w:cs="Times New Roman"/>
            <w:color w:val="0000FF"/>
            <w:sz w:val="24"/>
            <w:szCs w:val="24"/>
            <w:u w:val="single" w:color="0000FF"/>
          </w:rPr>
          <w:t>https://www.benton.org/blog/research</w:t>
        </w:r>
      </w:hyperlink>
      <w:hyperlink r:id="rId39">
        <w:r w:rsidRPr="00DF1B91">
          <w:rPr>
            <w:rFonts w:ascii="Times New Roman" w:hAnsi="Times New Roman" w:cs="Times New Roman"/>
            <w:color w:val="0000FF"/>
            <w:sz w:val="24"/>
            <w:szCs w:val="24"/>
            <w:u w:val="single" w:color="0000FF"/>
          </w:rPr>
          <w:t>-</w:t>
        </w:r>
      </w:hyperlink>
      <w:hyperlink r:id="rId40">
        <w:r w:rsidRPr="00DF1B91">
          <w:rPr>
            <w:rFonts w:ascii="Times New Roman" w:hAnsi="Times New Roman" w:cs="Times New Roman"/>
            <w:color w:val="0000FF"/>
            <w:sz w:val="24"/>
            <w:szCs w:val="24"/>
            <w:u w:val="single" w:color="0000FF"/>
          </w:rPr>
          <w:t>shows</w:t>
        </w:r>
      </w:hyperlink>
      <w:hyperlink r:id="rId41">
        <w:r w:rsidRPr="00DF1B91">
          <w:rPr>
            <w:rFonts w:ascii="Times New Roman" w:hAnsi="Times New Roman" w:cs="Times New Roman"/>
            <w:color w:val="0000FF"/>
            <w:sz w:val="24"/>
            <w:szCs w:val="24"/>
            <w:u w:val="single" w:color="0000FF"/>
          </w:rPr>
          <w:t>-</w:t>
        </w:r>
      </w:hyperlink>
      <w:hyperlink r:id="rId42">
        <w:r w:rsidRPr="00DF1B91">
          <w:rPr>
            <w:rFonts w:ascii="Times New Roman" w:hAnsi="Times New Roman" w:cs="Times New Roman"/>
            <w:color w:val="0000FF"/>
            <w:sz w:val="24"/>
            <w:szCs w:val="24"/>
            <w:u w:val="single" w:color="0000FF"/>
          </w:rPr>
          <w:t>cost</w:t>
        </w:r>
      </w:hyperlink>
      <w:hyperlink r:id="rId43">
        <w:r w:rsidRPr="00DF1B91">
          <w:rPr>
            <w:rFonts w:ascii="Times New Roman" w:hAnsi="Times New Roman" w:cs="Times New Roman"/>
            <w:color w:val="0000FF"/>
            <w:sz w:val="24"/>
            <w:szCs w:val="24"/>
            <w:u w:val="single" w:color="0000FF"/>
          </w:rPr>
          <w:t>-</w:t>
        </w:r>
      </w:hyperlink>
      <w:hyperlink r:id="rId44">
        <w:r w:rsidRPr="00DF1B91">
          <w:rPr>
            <w:rFonts w:ascii="Times New Roman" w:hAnsi="Times New Roman" w:cs="Times New Roman"/>
            <w:color w:val="0000FF"/>
            <w:sz w:val="24"/>
            <w:szCs w:val="24"/>
            <w:u w:val="single" w:color="0000FF"/>
          </w:rPr>
          <w:t>biggest</w:t>
        </w:r>
      </w:hyperlink>
      <w:hyperlink r:id="rId45">
        <w:r w:rsidRPr="00DF1B91">
          <w:rPr>
            <w:rFonts w:ascii="Times New Roman" w:hAnsi="Times New Roman" w:cs="Times New Roman"/>
            <w:color w:val="0000FF"/>
            <w:sz w:val="24"/>
            <w:szCs w:val="24"/>
            <w:u w:val="single" w:color="0000FF"/>
          </w:rPr>
          <w:t>-</w:t>
        </w:r>
      </w:hyperlink>
      <w:hyperlink r:id="rId46">
        <w:r w:rsidRPr="00DF1B91">
          <w:rPr>
            <w:rFonts w:ascii="Times New Roman" w:hAnsi="Times New Roman" w:cs="Times New Roman"/>
            <w:color w:val="0000FF"/>
            <w:sz w:val="24"/>
            <w:szCs w:val="24"/>
            <w:u w:val="single" w:color="0000FF"/>
          </w:rPr>
          <w:t>barrier</w:t>
        </w:r>
      </w:hyperlink>
      <w:hyperlink r:id="rId47">
        <w:r w:rsidRPr="00DF1B91">
          <w:rPr>
            <w:rFonts w:ascii="Times New Roman" w:hAnsi="Times New Roman" w:cs="Times New Roman"/>
            <w:color w:val="0000FF"/>
            <w:sz w:val="24"/>
            <w:szCs w:val="24"/>
            <w:u w:val="single" w:color="0000FF"/>
          </w:rPr>
          <w:t>-</w:t>
        </w:r>
      </w:hyperlink>
      <w:hyperlink r:id="rId48">
        <w:r w:rsidRPr="00DF1B91">
          <w:rPr>
            <w:rFonts w:ascii="Times New Roman" w:hAnsi="Times New Roman" w:cs="Times New Roman"/>
            <w:color w:val="0000FF"/>
            <w:sz w:val="24"/>
            <w:szCs w:val="24"/>
            <w:u w:val="single" w:color="0000FF"/>
          </w:rPr>
          <w:t>broadband</w:t>
        </w:r>
      </w:hyperlink>
      <w:hyperlink r:id="rId49">
        <w:r w:rsidRPr="00DF1B91">
          <w:rPr>
            <w:rFonts w:ascii="Times New Roman" w:hAnsi="Times New Roman" w:cs="Times New Roman"/>
            <w:color w:val="0000FF"/>
            <w:sz w:val="24"/>
            <w:szCs w:val="24"/>
            <w:u w:val="single" w:color="0000FF"/>
          </w:rPr>
          <w:t>-</w:t>
        </w:r>
      </w:hyperlink>
      <w:hyperlink r:id="rId50">
        <w:r w:rsidRPr="00DF1B91">
          <w:rPr>
            <w:rFonts w:ascii="Times New Roman" w:hAnsi="Times New Roman" w:cs="Times New Roman"/>
            <w:color w:val="0000FF"/>
            <w:sz w:val="24"/>
            <w:szCs w:val="24"/>
            <w:u w:val="single" w:color="0000FF"/>
          </w:rPr>
          <w:t>adoption</w:t>
        </w:r>
      </w:hyperlink>
      <w:hyperlink r:id="rId51">
        <w:r w:rsidRPr="00DF1B91">
          <w:rPr>
            <w:rFonts w:ascii="Times New Roman" w:hAnsi="Times New Roman" w:cs="Times New Roman"/>
            <w:sz w:val="24"/>
            <w:szCs w:val="24"/>
          </w:rPr>
          <w:t>.</w:t>
        </w:r>
      </w:hyperlink>
    </w:p>
  </w:footnote>
  <w:footnote w:id="52">
    <w:p w14:paraId="0785900B" w14:textId="1A1DE8FF" w:rsidR="000671EC" w:rsidRPr="00DF1B91" w:rsidRDefault="000671EC" w:rsidP="00224AC6">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Jennifer Levitz and Valerie Bauerlein, </w:t>
      </w:r>
      <w:r w:rsidRPr="00DF1B91">
        <w:rPr>
          <w:rFonts w:ascii="Times New Roman" w:hAnsi="Times New Roman" w:cs="Times New Roman"/>
          <w:i/>
          <w:sz w:val="24"/>
          <w:szCs w:val="24"/>
        </w:rPr>
        <w:t>Rural America is Stranded in the Dial-Up Age</w:t>
      </w:r>
      <w:r w:rsidRPr="00DF1B91">
        <w:rPr>
          <w:rFonts w:ascii="Times New Roman" w:hAnsi="Times New Roman" w:cs="Times New Roman"/>
          <w:sz w:val="24"/>
          <w:szCs w:val="24"/>
        </w:rPr>
        <w:t>, Wall St. J., June 16, 2017, at A1.  The article estimates that it costs $30,000 per mile to install optical fiber.</w:t>
      </w:r>
    </w:p>
  </w:footnote>
  <w:footnote w:id="53">
    <w:p w14:paraId="7AA0E15B" w14:textId="5820EF62" w:rsidR="000671EC" w:rsidRPr="00DF1B91" w:rsidRDefault="000671EC">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See</w:t>
      </w:r>
      <w:r w:rsidRPr="00DF1B91">
        <w:rPr>
          <w:rFonts w:ascii="Times New Roman" w:hAnsi="Times New Roman" w:cs="Times New Roman"/>
          <w:sz w:val="24"/>
          <w:szCs w:val="24"/>
        </w:rPr>
        <w:t xml:space="preserve"> The Carmel Group, </w:t>
      </w:r>
      <w:r w:rsidRPr="00DF1B91">
        <w:rPr>
          <w:rFonts w:ascii="Times New Roman" w:hAnsi="Times New Roman" w:cs="Times New Roman"/>
          <w:i/>
          <w:sz w:val="24"/>
          <w:szCs w:val="24"/>
        </w:rPr>
        <w:t>Ready for Takeoff: Broadband Wireless Access Providers Prepare to Soar with Fixed Wireless</w:t>
      </w:r>
      <w:r w:rsidRPr="00DF1B91">
        <w:rPr>
          <w:rFonts w:ascii="Times New Roman" w:hAnsi="Times New Roman" w:cs="Times New Roman"/>
          <w:sz w:val="24"/>
          <w:szCs w:val="24"/>
        </w:rPr>
        <w:t>, at 12, Fig. 6 (2017).</w:t>
      </w:r>
      <w:r w:rsidRPr="00DF1B91">
        <w:rPr>
          <w:rFonts w:ascii="Times New Roman" w:eastAsia="Calibri" w:hAnsi="Times New Roman" w:cs="Times New Roman"/>
          <w:sz w:val="24"/>
          <w:szCs w:val="24"/>
        </w:rPr>
        <w:t xml:space="preserve">   </w:t>
      </w:r>
    </w:p>
  </w:footnote>
  <w:footnote w:id="54">
    <w:p w14:paraId="7B6B3647" w14:textId="6DC82AF9" w:rsidR="000671EC" w:rsidRPr="00DF1B91" w:rsidRDefault="000671EC" w:rsidP="00585668">
      <w:pPr>
        <w:pStyle w:val="FootnoteText"/>
        <w:contextualSpacing/>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eastAsia="Times New Roman" w:hAnsi="Times New Roman" w:cs="Times New Roman"/>
          <w:i/>
          <w:color w:val="000000"/>
          <w:sz w:val="24"/>
          <w:szCs w:val="24"/>
          <w:lang w:val="en-US"/>
        </w:rPr>
        <w:t>Id</w:t>
      </w:r>
      <w:r w:rsidRPr="00DF1B91">
        <w:rPr>
          <w:rFonts w:ascii="Times New Roman" w:eastAsia="Times New Roman" w:hAnsi="Times New Roman" w:cs="Times New Roman"/>
          <w:color w:val="000000"/>
          <w:sz w:val="24"/>
          <w:szCs w:val="24"/>
          <w:lang w:val="en-US"/>
        </w:rPr>
        <w:t>.</w:t>
      </w:r>
      <w:r w:rsidRPr="00DF1B91">
        <w:rPr>
          <w:rFonts w:ascii="Times New Roman" w:eastAsia="Times New Roman" w:hAnsi="Times New Roman" w:cs="Times New Roman"/>
          <w:i/>
          <w:color w:val="000000"/>
          <w:sz w:val="24"/>
          <w:szCs w:val="24"/>
          <w:lang w:val="en-US"/>
        </w:rPr>
        <w:t xml:space="preserve"> </w:t>
      </w:r>
      <w:r w:rsidRPr="00DF1B91">
        <w:rPr>
          <w:rFonts w:ascii="Times New Roman" w:eastAsia="Times New Roman" w:hAnsi="Times New Roman" w:cs="Times New Roman"/>
          <w:color w:val="000000"/>
          <w:sz w:val="24"/>
          <w:szCs w:val="24"/>
          <w:lang w:val="en-US"/>
        </w:rPr>
        <w:t xml:space="preserve">at 17-21. “Deploying high-throughput fixed broadband to rural and small town America does not need to depend entirely on the Connect America Fund and other subsidy programs. By authorizing coordinated and shared use by point-to-multipoint (P2MP) fixed wireless services, the Commission can unlock unused spectrum as infrastructure to improve high-speed broadband access in rural areas at no cost to the Treasury.” </w:t>
      </w:r>
      <w:r w:rsidRPr="00DF1B91">
        <w:rPr>
          <w:rFonts w:ascii="Times New Roman" w:eastAsia="Times New Roman" w:hAnsi="Times New Roman" w:cs="Times New Roman"/>
          <w:i/>
          <w:color w:val="000000"/>
          <w:sz w:val="24"/>
          <w:szCs w:val="24"/>
          <w:lang w:val="en-US"/>
        </w:rPr>
        <w:t>Ibid</w:t>
      </w:r>
      <w:r w:rsidRPr="00DF1B91">
        <w:rPr>
          <w:rFonts w:ascii="Times New Roman" w:eastAsia="Times New Roman" w:hAnsi="Times New Roman" w:cs="Times New Roman"/>
          <w:color w:val="000000"/>
          <w:sz w:val="24"/>
          <w:szCs w:val="24"/>
          <w:lang w:val="en-US"/>
        </w:rPr>
        <w:t>.</w:t>
      </w:r>
    </w:p>
  </w:footnote>
  <w:footnote w:id="55">
    <w:p w14:paraId="213A1DFF" w14:textId="27F401A6" w:rsidR="00FB3B43" w:rsidRPr="00DF1B91" w:rsidRDefault="00FB3B43">
      <w:pPr>
        <w:pStyle w:val="FootnoteText"/>
        <w:rPr>
          <w:rFonts w:ascii="Times New Roman" w:hAnsi="Times New Roman" w:cs="Times New Roman"/>
          <w:b/>
          <w:sz w:val="24"/>
          <w:szCs w:val="24"/>
          <w:lang w:val="en-US"/>
        </w:rPr>
      </w:pPr>
      <w:r w:rsidRPr="00DF1B91">
        <w:rPr>
          <w:rStyle w:val="FootnoteReference"/>
          <w:rFonts w:ascii="Times New Roman" w:hAnsi="Times New Roman" w:cs="Times New Roman"/>
          <w:sz w:val="24"/>
          <w:szCs w:val="24"/>
        </w:rPr>
        <w:footnoteRef/>
      </w:r>
      <w:r w:rsidR="000028FE" w:rsidRPr="00DF1B91">
        <w:rPr>
          <w:rFonts w:ascii="Times New Roman" w:hAnsi="Times New Roman" w:cs="Times New Roman"/>
          <w:sz w:val="24"/>
          <w:szCs w:val="24"/>
        </w:rPr>
        <w:t xml:space="preserve"> Comments of New America’s Open Technology Institute, American Library Association, Consumer Federation of America, COSN—Consortium for School Networking, Public Knowledge, and Access Humboldt, ET Docket No. 18-295 and GN Docket No. 17-183 (Feb. 15, 2019) at 4, 25-27.</w:t>
      </w:r>
    </w:p>
  </w:footnote>
  <w:footnote w:id="56">
    <w:p w14:paraId="46AFBD15" w14:textId="77777777" w:rsidR="00D012E5" w:rsidRPr="00DF1B91" w:rsidRDefault="00D012E5" w:rsidP="00D012E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lang w:val="en-US"/>
        </w:rPr>
        <w:t>NPRM</w:t>
      </w:r>
      <w:r w:rsidRPr="00DF1B91">
        <w:rPr>
          <w:rFonts w:ascii="Times New Roman" w:hAnsi="Times New Roman" w:cs="Times New Roman"/>
          <w:sz w:val="24"/>
          <w:szCs w:val="24"/>
          <w:lang w:val="en-US"/>
        </w:rPr>
        <w:t xml:space="preserve"> at ¶ 39.</w:t>
      </w:r>
    </w:p>
  </w:footnote>
  <w:footnote w:id="57">
    <w:p w14:paraId="32841D56" w14:textId="624F1200" w:rsidR="00D012E5" w:rsidRPr="00DF1B91" w:rsidRDefault="00D012E5">
      <w:pPr>
        <w:pStyle w:val="FootnoteText"/>
        <w:rPr>
          <w:rFonts w:ascii="Times New Roman" w:hAnsi="Times New Roman" w:cs="Times New Roman"/>
          <w:b/>
          <w:sz w:val="24"/>
          <w:szCs w:val="24"/>
          <w:lang w:val="en-US"/>
        </w:rPr>
      </w:pPr>
      <w:r w:rsidRPr="00DF1B91">
        <w:rPr>
          <w:rStyle w:val="FootnoteReference"/>
          <w:rFonts w:ascii="Times New Roman" w:hAnsi="Times New Roman" w:cs="Times New Roman"/>
          <w:sz w:val="24"/>
          <w:szCs w:val="24"/>
        </w:rPr>
        <w:footnoteRef/>
      </w:r>
      <w:r w:rsidR="00083302" w:rsidRPr="00DF1B91">
        <w:rPr>
          <w:rFonts w:ascii="Times New Roman" w:hAnsi="Times New Roman" w:cs="Times New Roman"/>
          <w:sz w:val="24"/>
          <w:szCs w:val="24"/>
        </w:rPr>
        <w:t xml:space="preserve"> PISC TVWS Comments at 15-18; Reply Comments of the Public Interest Spectrum Coalition, ET Docket No. 20-36 (June 2, 2020) at 13-17.</w:t>
      </w:r>
    </w:p>
  </w:footnote>
  <w:footnote w:id="58">
    <w:p w14:paraId="532D3CE3" w14:textId="4D888B50" w:rsidR="00D012E5" w:rsidRPr="00DF1B91" w:rsidRDefault="00D012E5">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iCs/>
          <w:sz w:val="24"/>
          <w:szCs w:val="24"/>
          <w:lang w:val="en-US"/>
        </w:rPr>
        <w:t>Amendment of Part 15 of the Commission’s Rules for Unlicensed Operations in the Television Bands, Repurposed 600 MHz Band, 600 MHz Guard Bands and Duplex Gap, and Channel 37</w:t>
      </w:r>
      <w:r w:rsidRPr="00DF1B91">
        <w:rPr>
          <w:rFonts w:ascii="Times New Roman" w:hAnsi="Times New Roman" w:cs="Times New Roman"/>
          <w:sz w:val="24"/>
          <w:szCs w:val="24"/>
          <w:lang w:val="en-US"/>
        </w:rPr>
        <w:t xml:space="preserve">, Report and Order, ET Docket No. 14-165, GN Docket No. 12-268, at ¶ 88 (rel. Aug. 11, 2015) (noting the </w:t>
      </w:r>
      <w:r w:rsidRPr="00DF1B91">
        <w:rPr>
          <w:rFonts w:ascii="Times New Roman" w:hAnsi="Times New Roman" w:cs="Times New Roman"/>
          <w:sz w:val="24"/>
          <w:szCs w:val="24"/>
        </w:rPr>
        <w:t>Commission’s “high degree of confidence that the data</w:t>
      </w:r>
      <w:r w:rsidR="00072156" w:rsidRPr="00DF1B91">
        <w:rPr>
          <w:rFonts w:ascii="Times New Roman" w:hAnsi="Times New Roman" w:cs="Times New Roman"/>
          <w:sz w:val="24"/>
          <w:szCs w:val="24"/>
        </w:rPr>
        <w:t>bases can reliably protect [incumbent</w:t>
      </w:r>
      <w:r w:rsidRPr="00DF1B91">
        <w:rPr>
          <w:rFonts w:ascii="Times New Roman" w:hAnsi="Times New Roman" w:cs="Times New Roman"/>
          <w:sz w:val="24"/>
          <w:szCs w:val="24"/>
        </w:rPr>
        <w:t>] operations” because “[p]ersonal/portable devices [that] rely on database access to determine their list of available channels … can protect [incumbents] in the same manner as fixed devices.”)</w:t>
      </w:r>
      <w:r w:rsidRPr="00DF1B91">
        <w:rPr>
          <w:rFonts w:ascii="Times New Roman" w:hAnsi="Times New Roman" w:cs="Times New Roman"/>
          <w:sz w:val="24"/>
          <w:szCs w:val="24"/>
          <w:lang w:val="en-US"/>
        </w:rPr>
        <w:t>.</w:t>
      </w:r>
    </w:p>
  </w:footnote>
  <w:footnote w:id="59">
    <w:p w14:paraId="317E003B" w14:textId="77777777" w:rsidR="008E4FFA" w:rsidRPr="00DF1B91" w:rsidRDefault="008E4FFA" w:rsidP="008E4FFA">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Stephanie Bergeron Kinch, “Agriculture: A cash cow for Wi-Fi-based IoT?,” Wi-Fi NOW (June 2, 2018), </w:t>
      </w:r>
      <w:hyperlink r:id="rId52" w:history="1">
        <w:r w:rsidRPr="00DF1B91">
          <w:rPr>
            <w:rStyle w:val="Hyperlink"/>
            <w:rFonts w:ascii="Times New Roman" w:hAnsi="Times New Roman" w:cs="Times New Roman"/>
            <w:sz w:val="24"/>
            <w:szCs w:val="24"/>
          </w:rPr>
          <w:t>https://wifinowevents.com/news-and-blog/agriculture-a-cash-cow-for-wi-fi-based-iot/</w:t>
        </w:r>
      </w:hyperlink>
      <w:r w:rsidRPr="00DF1B91">
        <w:rPr>
          <w:rFonts w:ascii="Times New Roman" w:hAnsi="Times New Roman" w:cs="Times New Roman"/>
          <w:sz w:val="24"/>
          <w:szCs w:val="24"/>
        </w:rPr>
        <w:t xml:space="preserve">. Agnov8‘s CEO Andrew Cameron “says that Wi-Fi has a competitive advantage over LTE and 4G networks because it is more economically feasible to maintain and operate once it is installed. Farmers can check data and conditions on their smartphones and tablets, and the system is compatible with other Wi-Fi-enabled technology. Wi-Fi works especially well for smaller farms, he says.” </w:t>
      </w:r>
      <w:r w:rsidRPr="00DF1B91">
        <w:rPr>
          <w:rFonts w:ascii="Times New Roman" w:hAnsi="Times New Roman" w:cs="Times New Roman"/>
          <w:i/>
          <w:sz w:val="24"/>
          <w:szCs w:val="24"/>
        </w:rPr>
        <w:t>Ibid</w:t>
      </w:r>
      <w:r w:rsidRPr="00DF1B91">
        <w:rPr>
          <w:rFonts w:ascii="Times New Roman" w:hAnsi="Times New Roman" w:cs="Times New Roman"/>
          <w:sz w:val="24"/>
          <w:szCs w:val="24"/>
        </w:rPr>
        <w:t>.</w:t>
      </w:r>
    </w:p>
  </w:footnote>
  <w:footnote w:id="60">
    <w:p w14:paraId="49DBABBA" w14:textId="77777777" w:rsidR="008E4FFA" w:rsidRPr="00DF1B91" w:rsidRDefault="008E4FFA" w:rsidP="008E4FFA">
      <w:pPr>
        <w:spacing w:line="240" w:lineRule="auto"/>
        <w:rPr>
          <w:rFonts w:ascii="Times New Roman" w:hAnsi="Times New Roman" w:cs="Times New Roman"/>
          <w:i/>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 xml:space="preserve">Ibid. </w:t>
      </w:r>
    </w:p>
  </w:footnote>
  <w:footnote w:id="61">
    <w:p w14:paraId="0B57E5AD" w14:textId="77777777" w:rsidR="008E4FFA" w:rsidRPr="00DF1B91" w:rsidRDefault="008E4FFA" w:rsidP="008E4FFA">
      <w:pPr>
        <w:spacing w:line="240" w:lineRule="auto"/>
        <w:rPr>
          <w:rFonts w:ascii="Times New Roman" w:hAnsi="Times New Roman" w:cs="Times New Roman"/>
          <w:sz w:val="24"/>
          <w:szCs w:val="24"/>
        </w:rPr>
      </w:pPr>
      <w:r w:rsidRPr="00DF1B91">
        <w:rPr>
          <w:rFonts w:ascii="Times New Roman" w:hAnsi="Times New Roman" w:cs="Times New Roman"/>
          <w:sz w:val="24"/>
          <w:szCs w:val="24"/>
          <w:vertAlign w:val="superscript"/>
        </w:rPr>
        <w:footnoteRef/>
      </w:r>
      <w:r w:rsidRPr="00DF1B91">
        <w:rPr>
          <w:rFonts w:ascii="Times New Roman" w:hAnsi="Times New Roman" w:cs="Times New Roman"/>
          <w:sz w:val="24"/>
          <w:szCs w:val="24"/>
        </w:rPr>
        <w:t xml:space="preserve"> Michael Calabrese and Amir Nasr, “The 5.9 GHz Band: Removing the Roadblock to Gigabit Wi-Fi,” Wireless Future Project Issue Brief, New America’s Open Technology Institute, at 20-21 (March 2020), </w:t>
      </w:r>
      <w:hyperlink r:id="rId53">
        <w:r w:rsidRPr="00DF1B91">
          <w:rPr>
            <w:rFonts w:ascii="Times New Roman" w:hAnsi="Times New Roman" w:cs="Times New Roman"/>
            <w:color w:val="1155CC"/>
            <w:sz w:val="24"/>
            <w:szCs w:val="24"/>
            <w:u w:val="single"/>
          </w:rPr>
          <w:t>https://ecfsapi.fcc.gov/file/103101043510278/OTI%205.9%20GHz%20Issue%20Brief_CalabreseNasr_FINAL_030920.pdf</w:t>
        </w:r>
      </w:hyperlink>
      <w:r w:rsidRPr="00DF1B91">
        <w:rPr>
          <w:rFonts w:ascii="Times New Roman" w:hAnsi="Times New Roman" w:cs="Times New Roman"/>
          <w:color w:val="1155CC"/>
          <w:sz w:val="24"/>
          <w:szCs w:val="24"/>
          <w:u w:val="single"/>
        </w:rPr>
        <w:t>.</w:t>
      </w:r>
    </w:p>
  </w:footnote>
  <w:footnote w:id="62">
    <w:p w14:paraId="15F28865" w14:textId="2ECB3CAD" w:rsidR="001B5908" w:rsidRPr="00DF1B91" w:rsidRDefault="001B5908">
      <w:pPr>
        <w:pStyle w:val="FootnoteText"/>
        <w:rPr>
          <w:rFonts w:ascii="Times New Roman" w:hAnsi="Times New Roman" w:cs="Times New Roman"/>
          <w:sz w:val="24"/>
          <w:szCs w:val="24"/>
          <w:lang w:val="en-US"/>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w:t>
      </w:r>
      <w:r w:rsidRPr="00DF1B91">
        <w:rPr>
          <w:rFonts w:ascii="Times New Roman" w:hAnsi="Times New Roman" w:cs="Times New Roman"/>
          <w:i/>
          <w:sz w:val="24"/>
          <w:szCs w:val="24"/>
        </w:rPr>
        <w:t>See, e.g.</w:t>
      </w:r>
      <w:r w:rsidRPr="00DF1B91">
        <w:rPr>
          <w:rFonts w:ascii="Times New Roman" w:hAnsi="Times New Roman" w:cs="Times New Roman"/>
          <w:sz w:val="24"/>
          <w:szCs w:val="24"/>
        </w:rPr>
        <w:t>,</w:t>
      </w:r>
      <w:r w:rsidRPr="00DF1B91">
        <w:rPr>
          <w:rFonts w:ascii="Times New Roman" w:hAnsi="Times New Roman" w:cs="Times New Roman"/>
          <w:i/>
          <w:sz w:val="24"/>
          <w:szCs w:val="24"/>
        </w:rPr>
        <w:t xml:space="preserve"> </w:t>
      </w:r>
      <w:r w:rsidRPr="00DF1B91">
        <w:rPr>
          <w:rFonts w:ascii="Times New Roman" w:hAnsi="Times New Roman" w:cs="Times New Roman"/>
          <w:sz w:val="24"/>
          <w:szCs w:val="24"/>
        </w:rPr>
        <w:t>Comments of the Fixed Wireless Communications Coalition at 13, ET Docket No. 18-295, GN Docket No. 17-183 (filed Feb. 15, 2019) (FWCC Comments).</w:t>
      </w:r>
    </w:p>
  </w:footnote>
  <w:footnote w:id="63">
    <w:p w14:paraId="6E2C76CE" w14:textId="43E3D46B" w:rsidR="00CA088F" w:rsidRPr="00DF1B91" w:rsidRDefault="00CA088F" w:rsidP="00CA088F">
      <w:pPr>
        <w:pStyle w:val="FootnoteText"/>
        <w:rPr>
          <w:rFonts w:ascii="Times New Roman" w:hAnsi="Times New Roman" w:cs="Times New Roman"/>
          <w:sz w:val="24"/>
          <w:szCs w:val="24"/>
        </w:rPr>
      </w:pPr>
      <w:r w:rsidRPr="00DF1B91">
        <w:rPr>
          <w:rStyle w:val="FootnoteReference"/>
          <w:rFonts w:ascii="Times New Roman" w:hAnsi="Times New Roman" w:cs="Times New Roman"/>
          <w:sz w:val="24"/>
          <w:szCs w:val="24"/>
        </w:rPr>
        <w:footnoteRef/>
      </w:r>
      <w:r w:rsidRPr="00DF1B91">
        <w:rPr>
          <w:rFonts w:ascii="Times New Roman" w:hAnsi="Times New Roman" w:cs="Times New Roman"/>
          <w:sz w:val="24"/>
          <w:szCs w:val="24"/>
        </w:rPr>
        <w:t xml:space="preserve"> Reply Comments </w:t>
      </w:r>
      <w:r w:rsidR="008B3FF2" w:rsidRPr="00DF1B91">
        <w:rPr>
          <w:rFonts w:ascii="Times New Roman" w:hAnsi="Times New Roman" w:cs="Times New Roman"/>
          <w:sz w:val="24"/>
          <w:szCs w:val="24"/>
        </w:rPr>
        <w:t xml:space="preserve">of the Dynamic Spectrum Alliance, ET Docket No. 18-295 and GN Docket No. 17-183 (March 18, 2019) </w:t>
      </w:r>
      <w:r w:rsidRPr="00DF1B91">
        <w:rPr>
          <w:rFonts w:ascii="Times New Roman" w:hAnsi="Times New Roman" w:cs="Times New Roman"/>
          <w:sz w:val="24"/>
          <w:szCs w:val="24"/>
        </w:rPr>
        <w:t>at 1</w:t>
      </w:r>
      <w:r w:rsidR="008B3FF2" w:rsidRPr="00DF1B91">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7AF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846974"/>
    <w:multiLevelType w:val="hybridMultilevel"/>
    <w:tmpl w:val="B8FAE5E8"/>
    <w:lvl w:ilvl="0" w:tplc="85ACA9B4">
      <w:start w:val="48"/>
      <w:numFmt w:val="decimal"/>
      <w:lvlText w:val="%1"/>
      <w:lvlJc w:val="left"/>
      <w:pPr>
        <w:ind w:left="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04BAB9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10E45A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BB1838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12CA32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F6F49C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BF0481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0A9EC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F72CE6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2" w15:restartNumberingAfterBreak="0">
    <w:nsid w:val="3D6D4F9E"/>
    <w:multiLevelType w:val="hybridMultilevel"/>
    <w:tmpl w:val="CF5ED53C"/>
    <w:lvl w:ilvl="0" w:tplc="BD587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A0D9D"/>
    <w:multiLevelType w:val="hybridMultilevel"/>
    <w:tmpl w:val="98961F24"/>
    <w:lvl w:ilvl="0" w:tplc="6C462C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90904"/>
    <w:multiLevelType w:val="multilevel"/>
    <w:tmpl w:val="2D7AE8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646314"/>
    <w:multiLevelType w:val="hybridMultilevel"/>
    <w:tmpl w:val="D41256FA"/>
    <w:lvl w:ilvl="0" w:tplc="79D6A2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8"/>
    <w:rsid w:val="000028FE"/>
    <w:rsid w:val="00012A42"/>
    <w:rsid w:val="000229F8"/>
    <w:rsid w:val="00033F9C"/>
    <w:rsid w:val="00040968"/>
    <w:rsid w:val="000453FF"/>
    <w:rsid w:val="00045D13"/>
    <w:rsid w:val="000568DA"/>
    <w:rsid w:val="000671EC"/>
    <w:rsid w:val="00072156"/>
    <w:rsid w:val="000832D6"/>
    <w:rsid w:val="00083302"/>
    <w:rsid w:val="00091C3A"/>
    <w:rsid w:val="00093030"/>
    <w:rsid w:val="000A32FD"/>
    <w:rsid w:val="000C41D9"/>
    <w:rsid w:val="000C4D39"/>
    <w:rsid w:val="000D4277"/>
    <w:rsid w:val="000D7A7E"/>
    <w:rsid w:val="000F7A4D"/>
    <w:rsid w:val="001146F2"/>
    <w:rsid w:val="0013056E"/>
    <w:rsid w:val="00132900"/>
    <w:rsid w:val="00137102"/>
    <w:rsid w:val="00137A95"/>
    <w:rsid w:val="0014059B"/>
    <w:rsid w:val="0016233A"/>
    <w:rsid w:val="001915E9"/>
    <w:rsid w:val="001917A1"/>
    <w:rsid w:val="001A28AB"/>
    <w:rsid w:val="001B5908"/>
    <w:rsid w:val="001B62CA"/>
    <w:rsid w:val="001C64FF"/>
    <w:rsid w:val="001C6EE7"/>
    <w:rsid w:val="001E4ADB"/>
    <w:rsid w:val="002037DE"/>
    <w:rsid w:val="00210276"/>
    <w:rsid w:val="00212AA0"/>
    <w:rsid w:val="00224AC6"/>
    <w:rsid w:val="002314FA"/>
    <w:rsid w:val="00252A54"/>
    <w:rsid w:val="00253664"/>
    <w:rsid w:val="00260E77"/>
    <w:rsid w:val="00265DFA"/>
    <w:rsid w:val="00271EC8"/>
    <w:rsid w:val="00275DB7"/>
    <w:rsid w:val="0027603A"/>
    <w:rsid w:val="002777C2"/>
    <w:rsid w:val="00282EE0"/>
    <w:rsid w:val="0029785C"/>
    <w:rsid w:val="002A7167"/>
    <w:rsid w:val="002C7067"/>
    <w:rsid w:val="002D11D8"/>
    <w:rsid w:val="002D3CB0"/>
    <w:rsid w:val="002D4D1D"/>
    <w:rsid w:val="002F65CF"/>
    <w:rsid w:val="003125A7"/>
    <w:rsid w:val="003158A2"/>
    <w:rsid w:val="0031723A"/>
    <w:rsid w:val="00375A21"/>
    <w:rsid w:val="00386DC9"/>
    <w:rsid w:val="003B1BB1"/>
    <w:rsid w:val="003B3DB2"/>
    <w:rsid w:val="003D0EF7"/>
    <w:rsid w:val="003D3CDE"/>
    <w:rsid w:val="003D4269"/>
    <w:rsid w:val="003E6566"/>
    <w:rsid w:val="003F0826"/>
    <w:rsid w:val="00414C0D"/>
    <w:rsid w:val="0041526C"/>
    <w:rsid w:val="00415E55"/>
    <w:rsid w:val="00416F0A"/>
    <w:rsid w:val="00417C50"/>
    <w:rsid w:val="00422D03"/>
    <w:rsid w:val="00423669"/>
    <w:rsid w:val="00442F37"/>
    <w:rsid w:val="00450125"/>
    <w:rsid w:val="00454928"/>
    <w:rsid w:val="00460172"/>
    <w:rsid w:val="004611D1"/>
    <w:rsid w:val="0048064B"/>
    <w:rsid w:val="0048135C"/>
    <w:rsid w:val="00487863"/>
    <w:rsid w:val="00487AEB"/>
    <w:rsid w:val="004B0391"/>
    <w:rsid w:val="004C050F"/>
    <w:rsid w:val="004D65A5"/>
    <w:rsid w:val="00507593"/>
    <w:rsid w:val="00510E23"/>
    <w:rsid w:val="005215E3"/>
    <w:rsid w:val="00521878"/>
    <w:rsid w:val="00521F91"/>
    <w:rsid w:val="00535926"/>
    <w:rsid w:val="00571541"/>
    <w:rsid w:val="00585668"/>
    <w:rsid w:val="00585C2A"/>
    <w:rsid w:val="00590E39"/>
    <w:rsid w:val="0059451F"/>
    <w:rsid w:val="00597CC6"/>
    <w:rsid w:val="005A3FD6"/>
    <w:rsid w:val="005A5B26"/>
    <w:rsid w:val="005A711A"/>
    <w:rsid w:val="005B266D"/>
    <w:rsid w:val="005B60CC"/>
    <w:rsid w:val="00600811"/>
    <w:rsid w:val="006041DA"/>
    <w:rsid w:val="0060644D"/>
    <w:rsid w:val="00607ADA"/>
    <w:rsid w:val="00612DAA"/>
    <w:rsid w:val="0061385F"/>
    <w:rsid w:val="006260FA"/>
    <w:rsid w:val="0063481B"/>
    <w:rsid w:val="006423D9"/>
    <w:rsid w:val="006446F1"/>
    <w:rsid w:val="006657A9"/>
    <w:rsid w:val="0066608B"/>
    <w:rsid w:val="006779A3"/>
    <w:rsid w:val="006802CC"/>
    <w:rsid w:val="006A51AF"/>
    <w:rsid w:val="006B09B7"/>
    <w:rsid w:val="006C1A51"/>
    <w:rsid w:val="006C7C60"/>
    <w:rsid w:val="006D7106"/>
    <w:rsid w:val="006D72ED"/>
    <w:rsid w:val="006D7B7A"/>
    <w:rsid w:val="006E2002"/>
    <w:rsid w:val="006F66A8"/>
    <w:rsid w:val="007036EE"/>
    <w:rsid w:val="0070460E"/>
    <w:rsid w:val="0070766C"/>
    <w:rsid w:val="0072505E"/>
    <w:rsid w:val="007309A5"/>
    <w:rsid w:val="0075157D"/>
    <w:rsid w:val="00772399"/>
    <w:rsid w:val="00776F78"/>
    <w:rsid w:val="007776AD"/>
    <w:rsid w:val="007867AE"/>
    <w:rsid w:val="007A3730"/>
    <w:rsid w:val="007C780C"/>
    <w:rsid w:val="007D5932"/>
    <w:rsid w:val="007E0E79"/>
    <w:rsid w:val="007E39CE"/>
    <w:rsid w:val="007E3DA8"/>
    <w:rsid w:val="007E5EB5"/>
    <w:rsid w:val="007F0276"/>
    <w:rsid w:val="007F1C22"/>
    <w:rsid w:val="007F6217"/>
    <w:rsid w:val="007F7136"/>
    <w:rsid w:val="00805390"/>
    <w:rsid w:val="00825F89"/>
    <w:rsid w:val="008265D3"/>
    <w:rsid w:val="008478E9"/>
    <w:rsid w:val="00852180"/>
    <w:rsid w:val="0085486B"/>
    <w:rsid w:val="008577EF"/>
    <w:rsid w:val="00861CAF"/>
    <w:rsid w:val="00864CA4"/>
    <w:rsid w:val="00870640"/>
    <w:rsid w:val="008718AA"/>
    <w:rsid w:val="00872EA0"/>
    <w:rsid w:val="00896830"/>
    <w:rsid w:val="008B3FF2"/>
    <w:rsid w:val="008D1EDE"/>
    <w:rsid w:val="008E04D1"/>
    <w:rsid w:val="008E4FFA"/>
    <w:rsid w:val="008F764D"/>
    <w:rsid w:val="00942110"/>
    <w:rsid w:val="0095351B"/>
    <w:rsid w:val="009539B8"/>
    <w:rsid w:val="0096383C"/>
    <w:rsid w:val="00977203"/>
    <w:rsid w:val="00980D91"/>
    <w:rsid w:val="009A08C6"/>
    <w:rsid w:val="009B36E7"/>
    <w:rsid w:val="009C2245"/>
    <w:rsid w:val="009C6115"/>
    <w:rsid w:val="009D3AC4"/>
    <w:rsid w:val="009D7D5A"/>
    <w:rsid w:val="009E1EA1"/>
    <w:rsid w:val="009F28CE"/>
    <w:rsid w:val="009F4566"/>
    <w:rsid w:val="00A545CF"/>
    <w:rsid w:val="00A757E6"/>
    <w:rsid w:val="00A80080"/>
    <w:rsid w:val="00AA0E09"/>
    <w:rsid w:val="00AA4B68"/>
    <w:rsid w:val="00AB3EE8"/>
    <w:rsid w:val="00AC1275"/>
    <w:rsid w:val="00AC14C2"/>
    <w:rsid w:val="00AF2FD8"/>
    <w:rsid w:val="00B05283"/>
    <w:rsid w:val="00B2289C"/>
    <w:rsid w:val="00B32460"/>
    <w:rsid w:val="00B428DA"/>
    <w:rsid w:val="00B45BA9"/>
    <w:rsid w:val="00B47365"/>
    <w:rsid w:val="00B50CD8"/>
    <w:rsid w:val="00B57486"/>
    <w:rsid w:val="00B640A6"/>
    <w:rsid w:val="00B7643D"/>
    <w:rsid w:val="00B95325"/>
    <w:rsid w:val="00B97C4F"/>
    <w:rsid w:val="00BA683A"/>
    <w:rsid w:val="00BB7F47"/>
    <w:rsid w:val="00BC1DF8"/>
    <w:rsid w:val="00BC4330"/>
    <w:rsid w:val="00BD13A4"/>
    <w:rsid w:val="00BD3155"/>
    <w:rsid w:val="00BF4464"/>
    <w:rsid w:val="00BF688F"/>
    <w:rsid w:val="00C00ECE"/>
    <w:rsid w:val="00C04685"/>
    <w:rsid w:val="00C15512"/>
    <w:rsid w:val="00C17A8F"/>
    <w:rsid w:val="00C17B29"/>
    <w:rsid w:val="00C213D9"/>
    <w:rsid w:val="00C265FE"/>
    <w:rsid w:val="00C332E2"/>
    <w:rsid w:val="00C34BB7"/>
    <w:rsid w:val="00C36329"/>
    <w:rsid w:val="00C63381"/>
    <w:rsid w:val="00C70609"/>
    <w:rsid w:val="00C80AC9"/>
    <w:rsid w:val="00C85CE7"/>
    <w:rsid w:val="00C97BF7"/>
    <w:rsid w:val="00CA088F"/>
    <w:rsid w:val="00CA3A79"/>
    <w:rsid w:val="00CB742A"/>
    <w:rsid w:val="00CD276F"/>
    <w:rsid w:val="00CD2DEF"/>
    <w:rsid w:val="00CD7F55"/>
    <w:rsid w:val="00CF1ED6"/>
    <w:rsid w:val="00D012E5"/>
    <w:rsid w:val="00D24E15"/>
    <w:rsid w:val="00D31BD9"/>
    <w:rsid w:val="00D57D5D"/>
    <w:rsid w:val="00D941C8"/>
    <w:rsid w:val="00DC1FD3"/>
    <w:rsid w:val="00DC32D9"/>
    <w:rsid w:val="00DC59B0"/>
    <w:rsid w:val="00DC63A9"/>
    <w:rsid w:val="00DD13E3"/>
    <w:rsid w:val="00DE50B8"/>
    <w:rsid w:val="00DE7B33"/>
    <w:rsid w:val="00DF0BDE"/>
    <w:rsid w:val="00DF1B91"/>
    <w:rsid w:val="00DF1BB5"/>
    <w:rsid w:val="00E0209A"/>
    <w:rsid w:val="00E071B1"/>
    <w:rsid w:val="00E23DC5"/>
    <w:rsid w:val="00E44341"/>
    <w:rsid w:val="00E53F5D"/>
    <w:rsid w:val="00E54C7C"/>
    <w:rsid w:val="00E54E2B"/>
    <w:rsid w:val="00E56A4E"/>
    <w:rsid w:val="00E84114"/>
    <w:rsid w:val="00E90CCE"/>
    <w:rsid w:val="00EA1DC7"/>
    <w:rsid w:val="00EB504D"/>
    <w:rsid w:val="00EC53C2"/>
    <w:rsid w:val="00ED5111"/>
    <w:rsid w:val="00EE565D"/>
    <w:rsid w:val="00F04591"/>
    <w:rsid w:val="00F1239F"/>
    <w:rsid w:val="00F14CF8"/>
    <w:rsid w:val="00F163A3"/>
    <w:rsid w:val="00F16912"/>
    <w:rsid w:val="00F24396"/>
    <w:rsid w:val="00F43569"/>
    <w:rsid w:val="00F461AB"/>
    <w:rsid w:val="00F966AF"/>
    <w:rsid w:val="00FB3B43"/>
    <w:rsid w:val="00FB78FB"/>
    <w:rsid w:val="00FC1D78"/>
    <w:rsid w:val="00FE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B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aliases w:val="Footnote Text Char Cha,Footnote Text Char Char Char,Footnote Text Char Char5 Char Char Char Char,Footnote Text Char1,Footnote Text Char1 Char1 Char Char Char,Footnote Text Char2 Char1 Char Char,Footnote Text Char3,Footnote Text Char3 Char"/>
    <w:basedOn w:val="Normal"/>
    <w:link w:val="FootnoteTextChar"/>
    <w:uiPriority w:val="99"/>
    <w:unhideWhenUsed/>
    <w:qFormat/>
    <w:rsid w:val="002C7067"/>
    <w:pPr>
      <w:spacing w:line="240" w:lineRule="auto"/>
    </w:pPr>
    <w:rPr>
      <w:sz w:val="20"/>
      <w:szCs w:val="20"/>
    </w:rPr>
  </w:style>
  <w:style w:type="character" w:customStyle="1" w:styleId="FootnoteTextChar">
    <w:name w:val="Footnote Text Char"/>
    <w:aliases w:val="Footnote Text Char Cha Char,Footnote Text Char Char Char Char,Footnote Text Char Char5 Char Char Char Char Char,Footnote Text Char1 Char,Footnote Text Char1 Char1 Char Char Char Char,Footnote Text Char2 Char1 Char Char Char"/>
    <w:basedOn w:val="DefaultParagraphFont"/>
    <w:link w:val="FootnoteText"/>
    <w:uiPriority w:val="99"/>
    <w:rsid w:val="002C7067"/>
    <w:rPr>
      <w:sz w:val="20"/>
      <w:szCs w:val="20"/>
    </w:rPr>
  </w:style>
  <w:style w:type="character" w:styleId="FootnoteReference">
    <w:name w:val="footnote reference"/>
    <w:aliases w:val="(NECG) Footnote Reference,Appel note de bas de p,FR,Footnote Reference 030908,Footnote Reference/,Style 12,Style 124,Style 13,Style 17,Style 3,Style 6,fr,o"/>
    <w:basedOn w:val="DefaultParagraphFont"/>
    <w:uiPriority w:val="99"/>
    <w:unhideWhenUsed/>
    <w:rsid w:val="002C7067"/>
    <w:rPr>
      <w:vertAlign w:val="superscript"/>
    </w:rPr>
  </w:style>
  <w:style w:type="paragraph" w:styleId="ListParagraph">
    <w:name w:val="List Paragraph"/>
    <w:basedOn w:val="Normal"/>
    <w:uiPriority w:val="34"/>
    <w:qFormat/>
    <w:rsid w:val="002C7067"/>
    <w:pPr>
      <w:ind w:left="720"/>
      <w:contextualSpacing/>
    </w:pPr>
  </w:style>
  <w:style w:type="character" w:styleId="Hyperlink">
    <w:name w:val="Hyperlink"/>
    <w:basedOn w:val="DefaultParagraphFont"/>
    <w:uiPriority w:val="99"/>
    <w:unhideWhenUsed/>
    <w:rsid w:val="00590E39"/>
    <w:rPr>
      <w:color w:val="0000FF"/>
      <w:u w:val="single"/>
    </w:rPr>
  </w:style>
  <w:style w:type="character" w:styleId="FollowedHyperlink">
    <w:name w:val="FollowedHyperlink"/>
    <w:basedOn w:val="DefaultParagraphFont"/>
    <w:uiPriority w:val="99"/>
    <w:semiHidden/>
    <w:unhideWhenUsed/>
    <w:rsid w:val="00E54E2B"/>
    <w:rPr>
      <w:color w:val="800080" w:themeColor="followedHyperlink"/>
      <w:u w:val="single"/>
    </w:rPr>
  </w:style>
  <w:style w:type="paragraph" w:styleId="TOCHeading">
    <w:name w:val="TOC Heading"/>
    <w:basedOn w:val="Heading1"/>
    <w:next w:val="Normal"/>
    <w:uiPriority w:val="39"/>
    <w:unhideWhenUsed/>
    <w:qFormat/>
    <w:rsid w:val="006D72ED"/>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6D72ED"/>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6D72ED"/>
    <w:pPr>
      <w:ind w:left="220"/>
    </w:pPr>
    <w:rPr>
      <w:rFonts w:asciiTheme="minorHAnsi" w:hAnsiTheme="minorHAnsi"/>
      <w:b/>
    </w:rPr>
  </w:style>
  <w:style w:type="paragraph" w:styleId="TOC3">
    <w:name w:val="toc 3"/>
    <w:basedOn w:val="Normal"/>
    <w:next w:val="Normal"/>
    <w:autoRedefine/>
    <w:uiPriority w:val="39"/>
    <w:semiHidden/>
    <w:unhideWhenUsed/>
    <w:rsid w:val="006D72ED"/>
    <w:pPr>
      <w:ind w:left="440"/>
    </w:pPr>
    <w:rPr>
      <w:rFonts w:asciiTheme="minorHAnsi" w:hAnsiTheme="minorHAnsi"/>
    </w:rPr>
  </w:style>
  <w:style w:type="paragraph" w:styleId="TOC4">
    <w:name w:val="toc 4"/>
    <w:basedOn w:val="Normal"/>
    <w:next w:val="Normal"/>
    <w:autoRedefine/>
    <w:uiPriority w:val="39"/>
    <w:semiHidden/>
    <w:unhideWhenUsed/>
    <w:rsid w:val="006D72E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D72E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D72E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D72E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D72E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D72ED"/>
    <w:pPr>
      <w:ind w:left="1760"/>
    </w:pPr>
    <w:rPr>
      <w:rFonts w:asciiTheme="minorHAnsi" w:hAnsiTheme="minorHAnsi"/>
      <w:sz w:val="20"/>
      <w:szCs w:val="20"/>
    </w:rPr>
  </w:style>
  <w:style w:type="paragraph" w:styleId="Footer">
    <w:name w:val="footer"/>
    <w:basedOn w:val="Normal"/>
    <w:link w:val="FooterChar"/>
    <w:uiPriority w:val="99"/>
    <w:unhideWhenUsed/>
    <w:rsid w:val="0070460E"/>
    <w:pPr>
      <w:tabs>
        <w:tab w:val="center" w:pos="4680"/>
        <w:tab w:val="right" w:pos="9360"/>
      </w:tabs>
      <w:spacing w:line="240" w:lineRule="auto"/>
    </w:pPr>
  </w:style>
  <w:style w:type="character" w:customStyle="1" w:styleId="FooterChar">
    <w:name w:val="Footer Char"/>
    <w:basedOn w:val="DefaultParagraphFont"/>
    <w:link w:val="Footer"/>
    <w:uiPriority w:val="99"/>
    <w:rsid w:val="0070460E"/>
  </w:style>
  <w:style w:type="character" w:styleId="PageNumber">
    <w:name w:val="page number"/>
    <w:basedOn w:val="DefaultParagraphFont"/>
    <w:uiPriority w:val="99"/>
    <w:semiHidden/>
    <w:unhideWhenUsed/>
    <w:rsid w:val="0070460E"/>
  </w:style>
  <w:style w:type="paragraph" w:styleId="Header">
    <w:name w:val="header"/>
    <w:basedOn w:val="Normal"/>
    <w:link w:val="HeaderChar"/>
    <w:uiPriority w:val="99"/>
    <w:unhideWhenUsed/>
    <w:rsid w:val="0070460E"/>
    <w:pPr>
      <w:tabs>
        <w:tab w:val="center" w:pos="4680"/>
        <w:tab w:val="right" w:pos="9360"/>
      </w:tabs>
      <w:spacing w:line="240" w:lineRule="auto"/>
    </w:pPr>
  </w:style>
  <w:style w:type="character" w:customStyle="1" w:styleId="HeaderChar">
    <w:name w:val="Header Char"/>
    <w:basedOn w:val="DefaultParagraphFont"/>
    <w:link w:val="Header"/>
    <w:uiPriority w:val="99"/>
    <w:rsid w:val="0070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3511">
      <w:bodyDiv w:val="1"/>
      <w:marLeft w:val="0"/>
      <w:marRight w:val="0"/>
      <w:marTop w:val="0"/>
      <w:marBottom w:val="0"/>
      <w:divBdr>
        <w:top w:val="none" w:sz="0" w:space="0" w:color="auto"/>
        <w:left w:val="none" w:sz="0" w:space="0" w:color="auto"/>
        <w:bottom w:val="none" w:sz="0" w:space="0" w:color="auto"/>
        <w:right w:val="none" w:sz="0" w:space="0" w:color="auto"/>
      </w:divBdr>
    </w:div>
    <w:div w:id="104031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pewresearch.org/fact-tank/2017/03/22/digital-divide-persists-even-as-lower-income-americans-make-gains-in-tech-adoption/" TargetMode="External"/><Relationship Id="rId18" Type="http://schemas.openxmlformats.org/officeDocument/2006/relationships/hyperlink" Target="http://www.pewresearch.org/fact-tank/2017/03/22/digital-divide-persists-even-as-lower-income-americans-make-gains-in-tech-adoption/" TargetMode="External"/><Relationship Id="rId26" Type="http://schemas.openxmlformats.org/officeDocument/2006/relationships/hyperlink" Target="http://www.pewresearch.org/fact-tank/2017/03/22/digital-divide-persists-even-as-lower-income-americans-make-gains-in-tech-adoption/" TargetMode="External"/><Relationship Id="rId39" Type="http://schemas.openxmlformats.org/officeDocument/2006/relationships/hyperlink" Target="https://www.benton.org/blog/research-shows-cost-biggest-barrier-broadband-adoption" TargetMode="External"/><Relationship Id="rId21" Type="http://schemas.openxmlformats.org/officeDocument/2006/relationships/hyperlink" Target="http://www.pewresearch.org/fact-tank/2017/03/22/digital-divide-persists-even-as-lower-income-americans-make-gains-in-tech-adoption/" TargetMode="External"/><Relationship Id="rId34" Type="http://schemas.openxmlformats.org/officeDocument/2006/relationships/hyperlink" Target="http://www.pewresearch.org/fact-tank/2017/03/22/digital-divide-persists-even-as-lower-income-americans-make-gains-in-tech-adoption/" TargetMode="External"/><Relationship Id="rId42" Type="http://schemas.openxmlformats.org/officeDocument/2006/relationships/hyperlink" Target="https://www.benton.org/blog/research-shows-cost-biggest-barrier-broadband-adoption" TargetMode="External"/><Relationship Id="rId47" Type="http://schemas.openxmlformats.org/officeDocument/2006/relationships/hyperlink" Target="https://www.benton.org/blog/research-shows-cost-biggest-barrier-broadband-adoption" TargetMode="External"/><Relationship Id="rId50" Type="http://schemas.openxmlformats.org/officeDocument/2006/relationships/hyperlink" Target="https://www.benton.org/blog/research-shows-cost-biggest-barrier-broadband-adoption" TargetMode="External"/><Relationship Id="rId7" Type="http://schemas.openxmlformats.org/officeDocument/2006/relationships/hyperlink" Target="https://broadbandnow.com/research/fcc-underestimates-unserved-by-50-percent" TargetMode="External"/><Relationship Id="rId2" Type="http://schemas.openxmlformats.org/officeDocument/2006/relationships/hyperlink" Target="https://circlcenter.org/remote-labs/" TargetMode="External"/><Relationship Id="rId16" Type="http://schemas.openxmlformats.org/officeDocument/2006/relationships/hyperlink" Target="http://www.pewresearch.org/fact-tank/2017/03/22/digital-divide-persists-even-as-lower-income-americans-make-gains-in-tech-adoption/" TargetMode="External"/><Relationship Id="rId29" Type="http://schemas.openxmlformats.org/officeDocument/2006/relationships/hyperlink" Target="http://www.pewresearch.org/fact-tank/2017/03/22/digital-divide-persists-even-as-lower-income-americans-make-gains-in-tech-adoption/" TargetMode="External"/><Relationship Id="rId11" Type="http://schemas.openxmlformats.org/officeDocument/2006/relationships/hyperlink" Target="http://www.pewresearch.org/fact-tank/2017/03/22/digital-divide-persists-even-as-lower-income-americans-make-gains-in-tech-adoption/" TargetMode="External"/><Relationship Id="rId24" Type="http://schemas.openxmlformats.org/officeDocument/2006/relationships/hyperlink" Target="http://www.pewresearch.org/fact-tank/2017/03/22/digital-divide-persists-even-as-lower-income-americans-make-gains-in-tech-adoption/" TargetMode="External"/><Relationship Id="rId32" Type="http://schemas.openxmlformats.org/officeDocument/2006/relationships/hyperlink" Target="http://www.pewresearch.org/fact-tank/2017/03/22/digital-divide-persists-even-as-lower-income-americans-make-gains-in-tech-adoption/" TargetMode="External"/><Relationship Id="rId37" Type="http://schemas.openxmlformats.org/officeDocument/2006/relationships/hyperlink" Target="http://www.pewresearch.org/fact-tank/2017/03/22/digital-divide-persists-even-as-lower-income-americans-make-gains-in-tech-adoption/" TargetMode="External"/><Relationship Id="rId40" Type="http://schemas.openxmlformats.org/officeDocument/2006/relationships/hyperlink" Target="https://www.benton.org/blog/research-shows-cost-biggest-barrier-broadband-adoption" TargetMode="External"/><Relationship Id="rId45" Type="http://schemas.openxmlformats.org/officeDocument/2006/relationships/hyperlink" Target="https://www.benton.org/blog/research-shows-cost-biggest-barrier-broadband-adoption" TargetMode="External"/><Relationship Id="rId53" Type="http://schemas.openxmlformats.org/officeDocument/2006/relationships/hyperlink" Target="https://ecfsapi.fcc.gov/file/103101043510278/OTI%205.9%20GHz%20Issue%20Brief_CalabreseNasr_FINAL_030920.pdf" TargetMode="External"/><Relationship Id="rId5" Type="http://schemas.openxmlformats.org/officeDocument/2006/relationships/hyperlink" Target="https://www.computerweekly.com/news/252475056/Mettis-Aerospace-completes-worlds-first-phase-one-Wi-Fi-6-40-trials" TargetMode="External"/><Relationship Id="rId10" Type="http://schemas.openxmlformats.org/officeDocument/2006/relationships/hyperlink" Target="http://www.pewresearch.org/fact-tank/2017/03/22/digital-divide-persists-even-as-lower-income-americans-make-gains-in-tech-adoption/" TargetMode="External"/><Relationship Id="rId19" Type="http://schemas.openxmlformats.org/officeDocument/2006/relationships/hyperlink" Target="http://www.pewresearch.org/fact-tank/2017/03/22/digital-divide-persists-even-as-lower-income-americans-make-gains-in-tech-adoption/" TargetMode="External"/><Relationship Id="rId31" Type="http://schemas.openxmlformats.org/officeDocument/2006/relationships/hyperlink" Target="http://www.pewresearch.org/fact-tank/2017/03/22/digital-divide-persists-even-as-lower-income-americans-make-gains-in-tech-adoption/" TargetMode="External"/><Relationship Id="rId44" Type="http://schemas.openxmlformats.org/officeDocument/2006/relationships/hyperlink" Target="https://www.benton.org/blog/research-shows-cost-biggest-barrier-broadband-adoption" TargetMode="External"/><Relationship Id="rId52" Type="http://schemas.openxmlformats.org/officeDocument/2006/relationships/hyperlink" Target="https://wifinowevents.com/news-and-blog/agriculture-a-cash-cow-for-wi-fi-based-iot/" TargetMode="External"/><Relationship Id="rId4" Type="http://schemas.openxmlformats.org/officeDocument/2006/relationships/hyperlink" Target="https://www.nytimes.com/interactive/2020/06/09/magazine/remote-work-covid.html" TargetMode="External"/><Relationship Id="rId9" Type="http://schemas.openxmlformats.org/officeDocument/2006/relationships/hyperlink" Target="https://phys.org/news/2018-01-rural-america-broadband-internet.html" TargetMode="External"/><Relationship Id="rId14" Type="http://schemas.openxmlformats.org/officeDocument/2006/relationships/hyperlink" Target="http://www.pewresearch.org/fact-tank/2017/03/22/digital-divide-persists-even-as-lower-income-americans-make-gains-in-tech-adoption/" TargetMode="External"/><Relationship Id="rId22" Type="http://schemas.openxmlformats.org/officeDocument/2006/relationships/hyperlink" Target="http://www.pewresearch.org/fact-tank/2017/03/22/digital-divide-persists-even-as-lower-income-americans-make-gains-in-tech-adoption/" TargetMode="External"/><Relationship Id="rId27" Type="http://schemas.openxmlformats.org/officeDocument/2006/relationships/hyperlink" Target="http://www.pewresearch.org/fact-tank/2017/03/22/digital-divide-persists-even-as-lower-income-americans-make-gains-in-tech-adoption/" TargetMode="External"/><Relationship Id="rId30" Type="http://schemas.openxmlformats.org/officeDocument/2006/relationships/hyperlink" Target="http://www.pewresearch.org/fact-tank/2017/03/22/digital-divide-persists-even-as-lower-income-americans-make-gains-in-tech-adoption/" TargetMode="External"/><Relationship Id="rId35" Type="http://schemas.openxmlformats.org/officeDocument/2006/relationships/hyperlink" Target="http://www.pewresearch.org/fact-tank/2017/03/22/digital-divide-persists-even-as-lower-income-americans-make-gains-in-tech-adoption/" TargetMode="External"/><Relationship Id="rId43" Type="http://schemas.openxmlformats.org/officeDocument/2006/relationships/hyperlink" Target="https://www.benton.org/blog/research-shows-cost-biggest-barrier-broadband-adoption" TargetMode="External"/><Relationship Id="rId48" Type="http://schemas.openxmlformats.org/officeDocument/2006/relationships/hyperlink" Target="https://www.benton.org/blog/research-shows-cost-biggest-barrier-broadband-adoption" TargetMode="External"/><Relationship Id="rId8" Type="http://schemas.openxmlformats.org/officeDocument/2006/relationships/hyperlink" Target="https://www.pewresearch.org/fact-tank/2019/05/31/digital-gap-between-rural-and-nonrural-america-persists/" TargetMode="External"/><Relationship Id="rId51" Type="http://schemas.openxmlformats.org/officeDocument/2006/relationships/hyperlink" Target="https://www.benton.org/blog/research-shows-cost-biggest-barrier-broadband-adoption" TargetMode="External"/><Relationship Id="rId3" Type="http://schemas.openxmlformats.org/officeDocument/2006/relationships/hyperlink" Target="https://edtechmagazine.com/k12/article/2019/08/arvr-k-12-schools-use-immersive-technology-assistive-learning-perfcon" TargetMode="External"/><Relationship Id="rId12" Type="http://schemas.openxmlformats.org/officeDocument/2006/relationships/hyperlink" Target="http://www.pewresearch.org/fact-tank/2017/03/22/digital-divide-persists-even-as-lower-income-americans-make-gains-in-tech-adoption/" TargetMode="External"/><Relationship Id="rId17" Type="http://schemas.openxmlformats.org/officeDocument/2006/relationships/hyperlink" Target="http://www.pewresearch.org/fact-tank/2017/03/22/digital-divide-persists-even-as-lower-income-americans-make-gains-in-tech-adoption/" TargetMode="External"/><Relationship Id="rId25" Type="http://schemas.openxmlformats.org/officeDocument/2006/relationships/hyperlink" Target="http://www.pewresearch.org/fact-tank/2017/03/22/digital-divide-persists-even-as-lower-income-americans-make-gains-in-tech-adoption/" TargetMode="External"/><Relationship Id="rId33" Type="http://schemas.openxmlformats.org/officeDocument/2006/relationships/hyperlink" Target="http://www.pewresearch.org/fact-tank/2017/03/22/digital-divide-persists-even-as-lower-income-americans-make-gains-in-tech-adoption/" TargetMode="External"/><Relationship Id="rId38" Type="http://schemas.openxmlformats.org/officeDocument/2006/relationships/hyperlink" Target="https://www.benton.org/blog/research-shows-cost-biggest-barrier-broadband-adoption" TargetMode="External"/><Relationship Id="rId46" Type="http://schemas.openxmlformats.org/officeDocument/2006/relationships/hyperlink" Target="https://www.benton.org/blog/research-shows-cost-biggest-barrier-broadband-adoption" TargetMode="External"/><Relationship Id="rId20" Type="http://schemas.openxmlformats.org/officeDocument/2006/relationships/hyperlink" Target="http://www.pewresearch.org/fact-tank/2017/03/22/digital-divide-persists-even-as-lower-income-americans-make-gains-in-tech-adoption/" TargetMode="External"/><Relationship Id="rId41" Type="http://schemas.openxmlformats.org/officeDocument/2006/relationships/hyperlink" Target="https://www.benton.org/blog/research-shows-cost-biggest-barrier-broadband-adoption" TargetMode="External"/><Relationship Id="rId1" Type="http://schemas.openxmlformats.org/officeDocument/2006/relationships/hyperlink" Target="https://docs.fcc.gov/public/attachments/DOC-364693A1.pdf" TargetMode="External"/><Relationship Id="rId6" Type="http://schemas.openxmlformats.org/officeDocument/2006/relationships/hyperlink" Target="https://newamericadotorg.s3.amazonaws.com/documents/BAC_Google_FCC_Technical_Preso_P2MP-FSS_Coex_FINAL_032718_1.pdf" TargetMode="External"/><Relationship Id="rId15" Type="http://schemas.openxmlformats.org/officeDocument/2006/relationships/hyperlink" Target="http://www.pewresearch.org/fact-tank/2017/03/22/digital-divide-persists-even-as-lower-income-americans-make-gains-in-tech-adoption/" TargetMode="External"/><Relationship Id="rId23" Type="http://schemas.openxmlformats.org/officeDocument/2006/relationships/hyperlink" Target="http://www.pewresearch.org/fact-tank/2017/03/22/digital-divide-persists-even-as-lower-income-americans-make-gains-in-tech-adoption/" TargetMode="External"/><Relationship Id="rId28" Type="http://schemas.openxmlformats.org/officeDocument/2006/relationships/hyperlink" Target="http://www.pewresearch.org/fact-tank/2017/03/22/digital-divide-persists-even-as-lower-income-americans-make-gains-in-tech-adoption/" TargetMode="External"/><Relationship Id="rId36" Type="http://schemas.openxmlformats.org/officeDocument/2006/relationships/hyperlink" Target="http://www.pewresearch.org/fact-tank/2017/03/22/digital-divide-persists-even-as-lower-income-americans-make-gains-in-tech-adoption/" TargetMode="External"/><Relationship Id="rId49" Type="http://schemas.openxmlformats.org/officeDocument/2006/relationships/hyperlink" Target="https://www.benton.org/blog/research-shows-cost-biggest-barrier-broadband-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13AB-3D2F-4826-A6F7-55EB3ADE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7379</Words>
  <Characters>42064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Calabrese</dc:creator>
  <cp:lastModifiedBy>Michael Calabrese</cp:lastModifiedBy>
  <cp:revision>2</cp:revision>
  <dcterms:created xsi:type="dcterms:W3CDTF">2020-06-29T19:11:00Z</dcterms:created>
  <dcterms:modified xsi:type="dcterms:W3CDTF">2020-06-29T19:11:00Z</dcterms:modified>
</cp:coreProperties>
</file>