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2262"/>
        <w:gridCol w:w="1803"/>
        <w:gridCol w:w="2189"/>
        <w:gridCol w:w="1415"/>
        <w:gridCol w:w="657"/>
      </w:tblGrid>
      <w:tr w:rsidR="00642D4B" w:rsidRPr="00A1760D">
        <w:trPr>
          <w:tblCellSpacing w:w="0" w:type="dxa"/>
          <w:jc w:val="center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Exceeds Expectations</w:t>
            </w:r>
          </w:p>
          <w:p w:rsidR="00A1760D" w:rsidRPr="00A1760D" w:rsidRDefault="00A1760D" w:rsidP="00A17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(3 points)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Meets Fully</w:t>
            </w:r>
          </w:p>
          <w:p w:rsidR="00A1760D" w:rsidRPr="00A1760D" w:rsidRDefault="00A1760D" w:rsidP="00A17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(2 points)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Adequate</w:t>
            </w:r>
          </w:p>
          <w:p w:rsidR="00A1760D" w:rsidRPr="00A1760D" w:rsidRDefault="00A1760D" w:rsidP="00A17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(1 point)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Incomplete</w:t>
            </w:r>
          </w:p>
          <w:p w:rsidR="00A1760D" w:rsidRPr="00A1760D" w:rsidRDefault="00A1760D" w:rsidP="00A17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(0 points)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642D4B" w:rsidRPr="00A1760D">
        <w:trPr>
          <w:tblCellSpacing w:w="0" w:type="dxa"/>
          <w:jc w:val="center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5A" w:rsidRPr="00A1760D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Activities/ projects proposed for the upcoming year(s) with accompanying time frame</w:t>
            </w:r>
          </w:p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“What the liaison will do”</w:t>
            </w:r>
          </w:p>
          <w:p w:rsidR="00E92C5A" w:rsidRDefault="00E92C5A" w:rsidP="00524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760D" w:rsidRPr="00A1760D" w:rsidRDefault="00A1760D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5A" w:rsidRDefault="00E92C5A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funding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enable ACRL liaison to develop a new relationship with the target group or continue relevant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ctivities are innovative, realistic and/or clearly stated; timeline is clear and identifies specific activities and dates for completion.</w:t>
            </w:r>
          </w:p>
          <w:p w:rsidR="00E92C5A" w:rsidRDefault="00E92C5A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5A" w:rsidRDefault="00E92C5A" w:rsidP="003B0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reflects how the liaison will develop a new relationship with the target group or continue relevant work;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 clearly outlined and timeline is included, as are dates for completion.</w:t>
            </w:r>
          </w:p>
          <w:p w:rsidR="00A1760D" w:rsidRPr="00A1760D" w:rsidRDefault="00A1760D" w:rsidP="003B0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lists how the liaison will develop a new relationship with the target group or continue relevant work and lists the program or activities and general importance of participation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timeline is included.</w:t>
            </w:r>
          </w:p>
          <w:p w:rsidR="00E92C5A" w:rsidRDefault="00E92C5A" w:rsidP="003B0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60D" w:rsidRPr="00A1760D" w:rsidRDefault="00A1760D" w:rsidP="003B0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Incomplete or not addressed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D4B" w:rsidRPr="00A1760D">
        <w:trPr>
          <w:tblCellSpacing w:w="0" w:type="dxa"/>
          <w:jc w:val="center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F8" w:rsidRDefault="00A46B3A" w:rsidP="00422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220F8" w:rsidRPr="00A1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utcomes</w:t>
            </w:r>
            <w:r w:rsidR="00676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desired results</w:t>
            </w:r>
            <w:r w:rsidR="00B55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76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 impact of activities</w:t>
            </w:r>
          </w:p>
          <w:p w:rsidR="004220F8" w:rsidRDefault="004220F8" w:rsidP="00422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“What constituents of the liaison will do/learn/carry out as a result of the liaison’s work”</w:t>
            </w:r>
          </w:p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Outcomes support the goals expressed in the ACRL Plan for Excellence.</w:t>
            </w:r>
          </w:p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Outcomes are clearly linked to the liaison’s activities.</w:t>
            </w:r>
          </w:p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Outcomes have the potential to involve a great number of individuals</w:t>
            </w:r>
            <w:r w:rsidR="0067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 the partner organization as well as ACRL members; outcomes have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and sustainability for future years.</w:t>
            </w:r>
          </w:p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60D" w:rsidRPr="00A1760D" w:rsidRDefault="00A1760D" w:rsidP="00D77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ou</w:t>
            </w:r>
            <w:r w:rsidR="00B5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tcomes are linked to liaison’s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activities.</w:t>
            </w:r>
          </w:p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Outcomes have the potential to involve a great number of individuals; outcomes have long term potential and sustainability for future years.</w:t>
            </w:r>
          </w:p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Outcomes are relevant to a limited audience and long term potential is not clear.</w:t>
            </w:r>
          </w:p>
          <w:p w:rsidR="00A1760D" w:rsidRPr="00A1760D" w:rsidRDefault="00A1760D" w:rsidP="00D77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Incomplete or not addressed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D4B" w:rsidRPr="00A1760D">
        <w:trPr>
          <w:tblCellSpacing w:w="0" w:type="dxa"/>
          <w:jc w:val="center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Activities</w:t>
            </w:r>
            <w:r w:rsidRPr="00A1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 undertaken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 analyze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service,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program, publication, etc.</w:t>
            </w:r>
          </w:p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“How the liaison will judge what they have done or will do” </w:t>
            </w:r>
          </w:p>
          <w:p w:rsidR="00A1760D" w:rsidRPr="00FC50F1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Assessments, evaluations and reporting tools are defined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Assessments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provide information that is directly relevant to ACRL goals. Assessment activities are realistic given time and budgetary restrictions.</w:t>
            </w:r>
          </w:p>
          <w:p w:rsidR="00A1760D" w:rsidRPr="00A1760D" w:rsidRDefault="00A1760D" w:rsidP="003B0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Assessments and evaluations are listed and show 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some connection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ACRL goals</w:t>
            </w:r>
          </w:p>
          <w:p w:rsidR="00A1760D" w:rsidRPr="00A1760D" w:rsidRDefault="00A1760D" w:rsidP="003B0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5A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Assessment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activities are listed.</w:t>
            </w:r>
          </w:p>
          <w:p w:rsidR="00524CF0" w:rsidRDefault="00524CF0" w:rsidP="00524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60D" w:rsidRPr="00A1760D" w:rsidRDefault="00A1760D" w:rsidP="003B0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Incomplete or not addressed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D4B" w:rsidRPr="00A1760D">
        <w:trPr>
          <w:tblCellSpacing w:w="0" w:type="dxa"/>
          <w:jc w:val="center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5A" w:rsidRPr="00A1760D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Relationship to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goals expressed in the ACRL Plan for Excellence</w:t>
            </w:r>
          </w:p>
          <w:p w:rsidR="00A1760D" w:rsidRPr="00A1760D" w:rsidRDefault="00A1760D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E92C5A" w:rsidP="00C67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demonstrates that part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nership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aids in exposing the value of academic libraries,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transforming student 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transitioning to the new research and scholarly environment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 supporting new roles and changing landscapes. A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ctivities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directly link to</w:t>
            </w:r>
            <w:r w:rsidR="00C6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least three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goals and objectives.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 are clearly linked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least two ACRL 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goals.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E92C5A" w:rsidP="00E9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Activities are linked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one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ACRL 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strategic</w:t>
            </w:r>
            <w:proofErr w:type="gramEnd"/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goal.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Incomplete or not addressed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D4B" w:rsidRPr="00A1760D">
        <w:trPr>
          <w:tblCellSpacing w:w="0" w:type="dxa"/>
          <w:jc w:val="center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F8" w:rsidRPr="00A1760D" w:rsidRDefault="004220F8" w:rsidP="00FC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Funding Request/ Budget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F8" w:rsidRDefault="004220F8" w:rsidP="00E86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0F8" w:rsidRPr="00A1760D" w:rsidRDefault="004220F8" w:rsidP="00E86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Proposed budget is realistic considering stated activities, and includes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narrative with justification and estimates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74F" w:rsidRDefault="00E8674F" w:rsidP="003B0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60D" w:rsidRPr="00A1760D" w:rsidRDefault="004220F8" w:rsidP="003B0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Proposed budget clearly delineates all expected costs and provides justifications if the costs or activities are unusual.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Default="00A1760D" w:rsidP="003B0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0F8" w:rsidRPr="00A1760D" w:rsidRDefault="004220F8" w:rsidP="003B0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budget is</w:t>
            </w: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included in proposal.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 detail is included.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Incomplete or not addressed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D4B" w:rsidRPr="00A1760D" w:rsidTr="00DD4626">
        <w:trPr>
          <w:trHeight w:val="336"/>
          <w:tblCellSpacing w:w="0" w:type="dxa"/>
          <w:jc w:val="center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CF0" w:rsidRPr="00A1760D" w:rsidRDefault="00DD4626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CF0" w:rsidRPr="00A1760D" w:rsidRDefault="00524CF0" w:rsidP="00DD4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CF0" w:rsidRPr="00A1760D" w:rsidRDefault="00524CF0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CF0" w:rsidRPr="00A1760D" w:rsidRDefault="00524CF0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CF0" w:rsidRPr="00A1760D" w:rsidRDefault="00524CF0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CF0" w:rsidRPr="00A1760D" w:rsidRDefault="00524CF0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D4B" w:rsidRPr="00A1760D">
        <w:trPr>
          <w:tblCellSpacing w:w="0" w:type="dxa"/>
          <w:jc w:val="center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DD4626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from previous year (if applicable)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4626">
              <w:rPr>
                <w:rFonts w:ascii="Times New Roman" w:eastAsia="Times New Roman" w:hAnsi="Times New Roman" w:cs="Times New Roman"/>
                <w:sz w:val="24"/>
                <w:szCs w:val="24"/>
              </w:rPr>
              <w:t>Report demonstrates actual impact within partner organization with relation to ACRL goals and the value of academic libraries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4626">
              <w:rPr>
                <w:rFonts w:ascii="Times New Roman" w:eastAsia="Times New Roman" w:hAnsi="Times New Roman" w:cs="Times New Roman"/>
                <w:sz w:val="24"/>
                <w:szCs w:val="24"/>
              </w:rPr>
              <w:t>Report explains alignment of work with ACRL goals; some impact within partner organization is demonstrated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DD4626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focuses on activities/partnerships focused on ACRL members or librarians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DD4626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Incomplete or not addressed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60D" w:rsidRPr="00A1760D" w:rsidRDefault="00A1760D" w:rsidP="00A17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4CF0" w:rsidRDefault="00A1760D" w:rsidP="00A17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60D">
        <w:rPr>
          <w:rFonts w:ascii="Times New Roman" w:eastAsia="Times New Roman" w:hAnsi="Times New Roman" w:cs="Times New Roman"/>
          <w:sz w:val="24"/>
          <w:szCs w:val="24"/>
        </w:rPr>
        <w:t>*If a proposal is scored “0” in any category or earns a total score of “0-5” the applicant</w:t>
      </w:r>
      <w:r w:rsidRPr="00A1760D">
        <w:rPr>
          <w:rFonts w:ascii="Times New Roman" w:eastAsia="Times New Roman" w:hAnsi="Times New Roman" w:cs="Times New Roman"/>
          <w:sz w:val="24"/>
          <w:szCs w:val="24"/>
        </w:rPr>
        <w:br/>
        <w:t>will receive feedback from the Chair or Vice-Chair.</w:t>
      </w:r>
    </w:p>
    <w:p w:rsidR="00517169" w:rsidRDefault="00517169" w:rsidP="00A17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 Spring 2017</w:t>
      </w:r>
    </w:p>
    <w:sectPr w:rsidR="00517169" w:rsidSect="00642D4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5FBA"/>
    <w:multiLevelType w:val="multilevel"/>
    <w:tmpl w:val="5FAC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0D"/>
    <w:rsid w:val="000F33CF"/>
    <w:rsid w:val="0023421B"/>
    <w:rsid w:val="0030258D"/>
    <w:rsid w:val="003B02C3"/>
    <w:rsid w:val="004220F8"/>
    <w:rsid w:val="004A0419"/>
    <w:rsid w:val="00517169"/>
    <w:rsid w:val="00524CF0"/>
    <w:rsid w:val="00534F20"/>
    <w:rsid w:val="00642D4B"/>
    <w:rsid w:val="0067678B"/>
    <w:rsid w:val="00843078"/>
    <w:rsid w:val="00A00F70"/>
    <w:rsid w:val="00A1760D"/>
    <w:rsid w:val="00A34777"/>
    <w:rsid w:val="00A46B3A"/>
    <w:rsid w:val="00B55AD2"/>
    <w:rsid w:val="00C67167"/>
    <w:rsid w:val="00D77333"/>
    <w:rsid w:val="00DD4626"/>
    <w:rsid w:val="00E8674F"/>
    <w:rsid w:val="00E92C5A"/>
    <w:rsid w:val="00FC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3CC96-AAC1-41C8-955E-3CDD0D9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2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3142</Characters>
  <Application>Microsoft Office Word</Application>
  <DocSecurity>4</DocSecurity>
  <Lines>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Phillips</dc:creator>
  <cp:keywords/>
  <dc:description/>
  <cp:lastModifiedBy>Allison Payne</cp:lastModifiedBy>
  <cp:revision>2</cp:revision>
  <cp:lastPrinted>2017-03-30T14:41:00Z</cp:lastPrinted>
  <dcterms:created xsi:type="dcterms:W3CDTF">2017-06-08T16:49:00Z</dcterms:created>
  <dcterms:modified xsi:type="dcterms:W3CDTF">2017-06-08T16:49:00Z</dcterms:modified>
</cp:coreProperties>
</file>