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B" w:rsidRPr="00B52F4E" w:rsidRDefault="002D151B" w:rsidP="00895527">
      <w:pPr>
        <w:pStyle w:val="Heading1"/>
        <w:spacing w:before="0"/>
      </w:pPr>
      <w:bookmarkStart w:id="0" w:name="Appendix_C"/>
      <w:bookmarkStart w:id="1" w:name="_Toc262547570"/>
      <w:bookmarkStart w:id="2" w:name="_Toc264445665"/>
      <w:r w:rsidRPr="00B52F4E">
        <w:t>Appendix C</w:t>
      </w:r>
      <w:bookmarkEnd w:id="0"/>
      <w:r w:rsidRPr="00B52F4E">
        <w:t xml:space="preserve">. </w:t>
      </w:r>
      <w:r w:rsidR="006C0CB1" w:rsidRPr="00B52F4E">
        <w:t>A</w:t>
      </w:r>
      <w:r w:rsidR="00C248D9" w:rsidRPr="00B52F4E">
        <w:t>ctivity</w:t>
      </w:r>
      <w:r w:rsidR="006C0CB1" w:rsidRPr="00B52F4E">
        <w:t>: S</w:t>
      </w:r>
      <w:r w:rsidR="006E4A8D" w:rsidRPr="00B52F4E">
        <w:t>cenario T</w:t>
      </w:r>
      <w:r w:rsidR="0051738F" w:rsidRPr="00B52F4E">
        <w:t xml:space="preserve">hinking </w:t>
      </w:r>
      <w:r w:rsidR="006E4A8D" w:rsidRPr="00B52F4E">
        <w:t>at Y</w:t>
      </w:r>
      <w:r w:rsidR="002E6616" w:rsidRPr="00B52F4E">
        <w:t xml:space="preserve">our </w:t>
      </w:r>
      <w:r w:rsidR="006E4A8D" w:rsidRPr="00B52F4E">
        <w:t>L</w:t>
      </w:r>
      <w:r w:rsidR="002E6616" w:rsidRPr="00B52F4E">
        <w:t>ibrary</w:t>
      </w:r>
      <w:bookmarkEnd w:id="1"/>
      <w:r w:rsidR="00B66F5B" w:rsidRPr="00B52F4E">
        <w:rPr>
          <w:rStyle w:val="EndnoteReference"/>
        </w:rPr>
        <w:endnoteReference w:id="1"/>
      </w:r>
      <w:bookmarkEnd w:id="2"/>
    </w:p>
    <w:p w:rsidR="006C0CB1" w:rsidRDefault="006C0CB1" w:rsidP="007E2B7E">
      <w:pPr>
        <w:pStyle w:val="Heading3"/>
      </w:pPr>
      <w:r>
        <w:t>Overview</w:t>
      </w:r>
    </w:p>
    <w:p w:rsidR="00436369" w:rsidRDefault="006C0CB1" w:rsidP="007E2B7E">
      <w:r>
        <w:t>This activity is intended for people with a wide range of roles within the library, as</w:t>
      </w:r>
      <w:r w:rsidR="004305FD">
        <w:t xml:space="preserve"> a diversity of opinion and experience is useful for futures thinking and scenario work</w:t>
      </w:r>
      <w:r>
        <w:t xml:space="preserve">. The purpose is to </w:t>
      </w:r>
      <w:r w:rsidR="00C248D9">
        <w:t>engage</w:t>
      </w:r>
      <w:r w:rsidR="00160E1D">
        <w:t xml:space="preserve"> library colleagues</w:t>
      </w:r>
      <w:r>
        <w:t xml:space="preserve"> in </w:t>
      </w:r>
      <w:r w:rsidR="00C248D9">
        <w:t xml:space="preserve">stretching </w:t>
      </w:r>
      <w:r>
        <w:t>your imaginations to consider possible futures and make better decisions now that can me</w:t>
      </w:r>
      <w:r w:rsidR="00D034CA">
        <w:t>et a variety of possible futures. This can build your capacity to engage in s</w:t>
      </w:r>
      <w:r w:rsidR="00436369">
        <w:t>trategic thinking and planning.</w:t>
      </w:r>
    </w:p>
    <w:p w:rsidR="004305FD" w:rsidRDefault="00D034CA" w:rsidP="004305FD">
      <w:pPr>
        <w:spacing w:after="0"/>
      </w:pPr>
      <w:r>
        <w:t xml:space="preserve">One person </w:t>
      </w:r>
      <w:r w:rsidR="004305FD">
        <w:t>should</w:t>
      </w:r>
      <w:r>
        <w:t xml:space="preserve"> assume the role of facilitator</w:t>
      </w:r>
      <w:r w:rsidR="004305FD">
        <w:t xml:space="preserve"> and </w:t>
      </w:r>
      <w:r w:rsidR="00CD2E73">
        <w:t>assume</w:t>
      </w:r>
      <w:r w:rsidR="004305FD">
        <w:t xml:space="preserve"> duties such as</w:t>
      </w:r>
      <w:r>
        <w:t>:</w:t>
      </w:r>
    </w:p>
    <w:p w:rsidR="004305FD" w:rsidRDefault="00E768E3" w:rsidP="004305FD">
      <w:pPr>
        <w:numPr>
          <w:ilvl w:val="0"/>
          <w:numId w:val="24"/>
        </w:numPr>
        <w:spacing w:after="0"/>
      </w:pPr>
      <w:r>
        <w:t>s</w:t>
      </w:r>
      <w:r w:rsidR="00D034CA">
        <w:t>chedule the room</w:t>
      </w:r>
      <w:r w:rsidR="004305FD">
        <w:t>,</w:t>
      </w:r>
    </w:p>
    <w:p w:rsidR="004305FD" w:rsidRDefault="00D034CA" w:rsidP="004305FD">
      <w:pPr>
        <w:numPr>
          <w:ilvl w:val="0"/>
          <w:numId w:val="24"/>
        </w:numPr>
        <w:spacing w:after="0"/>
      </w:pPr>
      <w:r>
        <w:t>send a meeting invitation and convey instructions to participants</w:t>
      </w:r>
      <w:r w:rsidR="004305FD">
        <w:t>,</w:t>
      </w:r>
    </w:p>
    <w:p w:rsidR="004305FD" w:rsidRDefault="004305FD" w:rsidP="004305FD">
      <w:pPr>
        <w:numPr>
          <w:ilvl w:val="0"/>
          <w:numId w:val="24"/>
        </w:numPr>
        <w:spacing w:after="0"/>
      </w:pPr>
      <w:r>
        <w:t>check in</w:t>
      </w:r>
      <w:r w:rsidR="006C1A80">
        <w:t xml:space="preserve"> with participants</w:t>
      </w:r>
      <w:r>
        <w:t xml:space="preserve"> one</w:t>
      </w:r>
      <w:r w:rsidR="006C1A80">
        <w:t xml:space="preserve"> week</w:t>
      </w:r>
      <w:r>
        <w:t xml:space="preserve"> before to ensure </w:t>
      </w:r>
      <w:r w:rsidR="006C1A80">
        <w:t>they</w:t>
      </w:r>
      <w:r>
        <w:t xml:space="preserve"> are shifting from reading to research and </w:t>
      </w:r>
      <w:r w:rsidR="006C1A80">
        <w:t>writing</w:t>
      </w:r>
      <w:r>
        <w:t>,</w:t>
      </w:r>
    </w:p>
    <w:p w:rsidR="004305FD" w:rsidRDefault="00D034CA" w:rsidP="004305FD">
      <w:pPr>
        <w:numPr>
          <w:ilvl w:val="0"/>
          <w:numId w:val="24"/>
        </w:numPr>
        <w:spacing w:after="0"/>
      </w:pPr>
      <w:r>
        <w:t xml:space="preserve">ensure materials are available </w:t>
      </w:r>
      <w:r w:rsidR="004305FD">
        <w:t xml:space="preserve">for the meeting </w:t>
      </w:r>
      <w:r>
        <w:t>(flip charts, white board, post it notes</w:t>
      </w:r>
      <w:r w:rsidR="004305FD">
        <w:t>, snacks</w:t>
      </w:r>
      <w:r>
        <w:t>)</w:t>
      </w:r>
      <w:r w:rsidR="004305FD">
        <w:t>,</w:t>
      </w:r>
    </w:p>
    <w:p w:rsidR="004305FD" w:rsidRDefault="00E768E3" w:rsidP="004305FD">
      <w:pPr>
        <w:numPr>
          <w:ilvl w:val="0"/>
          <w:numId w:val="24"/>
        </w:numPr>
        <w:spacing w:after="0"/>
      </w:pPr>
      <w:r>
        <w:t>convene the meeting</w:t>
      </w:r>
      <w:r w:rsidR="004305FD">
        <w:t>,</w:t>
      </w:r>
    </w:p>
    <w:p w:rsidR="009578AD" w:rsidRDefault="009578AD" w:rsidP="009578AD">
      <w:pPr>
        <w:numPr>
          <w:ilvl w:val="0"/>
          <w:numId w:val="24"/>
        </w:numPr>
        <w:spacing w:after="0"/>
      </w:pPr>
      <w:r>
        <w:t>issue time keeping reminders,</w:t>
      </w:r>
    </w:p>
    <w:p w:rsidR="004305FD" w:rsidRDefault="00D034CA" w:rsidP="004305FD">
      <w:pPr>
        <w:numPr>
          <w:ilvl w:val="0"/>
          <w:numId w:val="24"/>
        </w:numPr>
        <w:spacing w:after="0"/>
      </w:pPr>
      <w:r>
        <w:t>scribe during the event</w:t>
      </w:r>
      <w:r w:rsidR="004305FD">
        <w:t xml:space="preserve">, </w:t>
      </w:r>
    </w:p>
    <w:p w:rsidR="004305FD" w:rsidRDefault="004305FD" w:rsidP="004305FD">
      <w:pPr>
        <w:numPr>
          <w:ilvl w:val="0"/>
          <w:numId w:val="24"/>
        </w:numPr>
        <w:spacing w:after="0"/>
      </w:pPr>
      <w:r>
        <w:t>guide the debrief, and</w:t>
      </w:r>
    </w:p>
    <w:p w:rsidR="00D034CA" w:rsidRDefault="00D034CA" w:rsidP="004305FD">
      <w:pPr>
        <w:numPr>
          <w:ilvl w:val="0"/>
          <w:numId w:val="24"/>
        </w:numPr>
      </w:pPr>
      <w:r>
        <w:t xml:space="preserve">help the group </w:t>
      </w:r>
      <w:r w:rsidR="00E768E3">
        <w:t>determine next steps.</w:t>
      </w:r>
    </w:p>
    <w:p w:rsidR="006C0CB1" w:rsidRDefault="00D034CA" w:rsidP="007E2B7E">
      <w:pPr>
        <w:pStyle w:val="Heading3"/>
      </w:pPr>
      <w:r>
        <w:t>Pre work for participants</w:t>
      </w:r>
    </w:p>
    <w:p w:rsidR="00D034CA" w:rsidRDefault="00D034CA" w:rsidP="007E2B7E">
      <w:r w:rsidRPr="00E73D07">
        <w:rPr>
          <w:i/>
        </w:rPr>
        <w:t xml:space="preserve">Two weeks </w:t>
      </w:r>
      <w:r w:rsidR="00C248D9" w:rsidRPr="00E73D07">
        <w:rPr>
          <w:i/>
        </w:rPr>
        <w:t>before</w:t>
      </w:r>
      <w:r w:rsidR="00E73D07" w:rsidRPr="00E73D07">
        <w:rPr>
          <w:i/>
        </w:rPr>
        <w:t>.</w:t>
      </w:r>
      <w:r w:rsidR="00E73D07">
        <w:t xml:space="preserve"> R</w:t>
      </w:r>
      <w:r w:rsidR="00C248D9">
        <w:t xml:space="preserve">ead the </w:t>
      </w:r>
      <w:r w:rsidR="00030DEA">
        <w:t xml:space="preserve">ACRL </w:t>
      </w:r>
      <w:r w:rsidR="00C248D9">
        <w:t xml:space="preserve">report </w:t>
      </w:r>
      <w:r w:rsidR="006C0CB1">
        <w:t>“</w:t>
      </w:r>
      <w:r w:rsidR="00436369">
        <w:t>Futures t</w:t>
      </w:r>
      <w:r w:rsidR="006C0CB1" w:rsidRPr="006C0CB1">
        <w:t xml:space="preserve">hinking for </w:t>
      </w:r>
      <w:r w:rsidR="00436369">
        <w:t>academic l</w:t>
      </w:r>
      <w:r w:rsidR="006C0CB1" w:rsidRPr="006C0CB1">
        <w:t>ibrarians: Higher education in 2025</w:t>
      </w:r>
      <w:r>
        <w:t>.</w:t>
      </w:r>
      <w:r w:rsidR="006C0CB1">
        <w:t xml:space="preserve">” </w:t>
      </w:r>
      <w:r>
        <w:t>C</w:t>
      </w:r>
      <w:r w:rsidR="00C248D9">
        <w:t>hoose two scenarios to research from the high</w:t>
      </w:r>
      <w:r w:rsidR="00F15736">
        <w:t>-</w:t>
      </w:r>
      <w:r w:rsidR="00C248D9">
        <w:t>impact, high</w:t>
      </w:r>
      <w:r w:rsidR="00F15736">
        <w:t>-</w:t>
      </w:r>
      <w:r w:rsidR="00C248D9">
        <w:t xml:space="preserve">probability </w:t>
      </w:r>
      <w:r w:rsidR="0002607A">
        <w:t xml:space="preserve">quadrant </w:t>
      </w:r>
      <w:r>
        <w:t>(30 minutes).</w:t>
      </w:r>
    </w:p>
    <w:p w:rsidR="00D034CA" w:rsidRDefault="00D034CA" w:rsidP="007E2B7E">
      <w:r w:rsidRPr="00E73D07">
        <w:rPr>
          <w:i/>
        </w:rPr>
        <w:t>One week before.</w:t>
      </w:r>
      <w:r>
        <w:t xml:space="preserve"> S</w:t>
      </w:r>
      <w:r w:rsidR="00C248D9">
        <w:t>earch for evidence from the present that relates to the t</w:t>
      </w:r>
      <w:r w:rsidR="00C20A32">
        <w:t>hemes in the scenarios you chose</w:t>
      </w:r>
      <w:r w:rsidR="00C248D9">
        <w:t>. This could be in the higher ed</w:t>
      </w:r>
      <w:r w:rsidR="006E5926">
        <w:t>ucation</w:t>
      </w:r>
      <w:r w:rsidR="00C248D9">
        <w:t xml:space="preserve"> trade press, technology blogs, natio</w:t>
      </w:r>
      <w:r w:rsidR="006E5926">
        <w:t>nal newspapers, etc</w:t>
      </w:r>
      <w:r w:rsidR="00AA4BB4">
        <w:t xml:space="preserve">. </w:t>
      </w:r>
      <w:r w:rsidR="006E5926">
        <w:t>(</w:t>
      </w:r>
      <w:r w:rsidR="006C37A1">
        <w:t>60 minutes</w:t>
      </w:r>
      <w:r w:rsidR="006E5926">
        <w:t>).</w:t>
      </w:r>
    </w:p>
    <w:p w:rsidR="00C248D9" w:rsidRDefault="00D034CA" w:rsidP="007E2B7E">
      <w:r w:rsidRPr="00E73D07">
        <w:rPr>
          <w:i/>
        </w:rPr>
        <w:t>Two days before.</w:t>
      </w:r>
      <w:r>
        <w:t xml:space="preserve"> E</w:t>
      </w:r>
      <w:r w:rsidR="00C248D9">
        <w:t>ngage in a free form writing exercise to flesh out each scenario as a more robust story 5-15 years in the future</w:t>
      </w:r>
      <w:r w:rsidR="009F73E1">
        <w:t xml:space="preserve">. </w:t>
      </w:r>
      <w:r w:rsidR="006C37A1">
        <w:t xml:space="preserve">Combine the evidence you found with your imagination to draw inferences for how the future could look in higher education. </w:t>
      </w:r>
      <w:r w:rsidR="00577A26">
        <w:t xml:space="preserve">You should write in the present tense, as if you were there living in that moment, and give your scenario a brief title </w:t>
      </w:r>
      <w:r w:rsidR="00C248D9">
        <w:t>(30 minutes).</w:t>
      </w:r>
    </w:p>
    <w:p w:rsidR="00D034CA" w:rsidRDefault="00D034CA" w:rsidP="007E2B7E">
      <w:pPr>
        <w:pStyle w:val="Heading3"/>
      </w:pPr>
      <w:r>
        <w:t>Meeting instructions</w:t>
      </w:r>
    </w:p>
    <w:p w:rsidR="00D034CA" w:rsidRDefault="0083028C" w:rsidP="007E2B7E">
      <w:r>
        <w:t xml:space="preserve">Total time:  </w:t>
      </w:r>
      <w:r w:rsidR="00A00B70">
        <w:t>2 hours</w:t>
      </w:r>
      <w:r w:rsidR="00D034CA">
        <w:t xml:space="preserve"> </w:t>
      </w:r>
    </w:p>
    <w:p w:rsidR="006160F8" w:rsidRDefault="00BD63CA" w:rsidP="00BD63CA">
      <w:pPr>
        <w:pStyle w:val="ListParagraph"/>
        <w:spacing w:before="200"/>
        <w:ind w:left="0"/>
      </w:pPr>
      <w:r w:rsidRPr="00BD63CA">
        <w:rPr>
          <w:i/>
        </w:rPr>
        <w:t>Meeting convenes.</w:t>
      </w:r>
      <w:r>
        <w:t xml:space="preserve"> </w:t>
      </w:r>
      <w:r w:rsidR="00A00B70">
        <w:t>Facilitator</w:t>
      </w:r>
      <w:r w:rsidR="009A757A">
        <w:t xml:space="preserve"> explains purpose of the meeting, </w:t>
      </w:r>
      <w:r w:rsidR="00742185">
        <w:t xml:space="preserve">provides overview </w:t>
      </w:r>
      <w:r w:rsidR="009A757A">
        <w:t xml:space="preserve">of meeting structure, and </w:t>
      </w:r>
      <w:r w:rsidR="006160F8">
        <w:t>introduce</w:t>
      </w:r>
      <w:r w:rsidR="00A00B70">
        <w:t>s</w:t>
      </w:r>
      <w:r w:rsidR="006160F8">
        <w:t xml:space="preserve"> </w:t>
      </w:r>
      <w:r w:rsidR="00742185">
        <w:t xml:space="preserve">small group </w:t>
      </w:r>
      <w:r w:rsidR="006160F8">
        <w:t>exercise</w:t>
      </w:r>
      <w:r w:rsidR="00A00B70">
        <w:t>, emphasiz</w:t>
      </w:r>
      <w:r w:rsidR="00742185">
        <w:t>ing</w:t>
      </w:r>
      <w:r w:rsidR="00A00B70">
        <w:t xml:space="preserve"> that members should actively liste</w:t>
      </w:r>
      <w:r w:rsidR="00742185">
        <w:t xml:space="preserve">n and reserve judging comments, whether </w:t>
      </w:r>
      <w:r w:rsidR="00A00B70">
        <w:t>good or bad</w:t>
      </w:r>
      <w:r w:rsidR="006E5926">
        <w:t xml:space="preserve"> (</w:t>
      </w:r>
      <w:r w:rsidR="00A00B70">
        <w:t>10</w:t>
      </w:r>
      <w:r w:rsidR="006E5926">
        <w:t xml:space="preserve"> minutes)</w:t>
      </w:r>
      <w:r w:rsidR="00F15736">
        <w:t>.</w:t>
      </w:r>
    </w:p>
    <w:p w:rsidR="00BD63CA" w:rsidRDefault="00BD63CA" w:rsidP="00BD63CA">
      <w:pPr>
        <w:pStyle w:val="ListParagraph"/>
        <w:spacing w:before="200"/>
        <w:ind w:left="0"/>
      </w:pPr>
    </w:p>
    <w:p w:rsidR="006160F8" w:rsidRDefault="00BD63CA" w:rsidP="00BD63CA">
      <w:pPr>
        <w:pStyle w:val="ListParagraph"/>
        <w:spacing w:before="200"/>
        <w:ind w:left="0"/>
      </w:pPr>
      <w:r w:rsidRPr="00BD63CA">
        <w:rPr>
          <w:i/>
        </w:rPr>
        <w:lastRenderedPageBreak/>
        <w:t>Small group.</w:t>
      </w:r>
      <w:r>
        <w:t xml:space="preserve"> </w:t>
      </w:r>
      <w:r w:rsidR="006160F8">
        <w:t xml:space="preserve">Participants break into groups of three to take </w:t>
      </w:r>
      <w:r w:rsidR="00C248D9">
        <w:t xml:space="preserve">turns discussing </w:t>
      </w:r>
      <w:r w:rsidR="006160F8">
        <w:t>the scenarios they wrote a</w:t>
      </w:r>
      <w:r w:rsidR="00C248D9">
        <w:t xml:space="preserve">nd potential implications </w:t>
      </w:r>
      <w:r w:rsidR="006160F8">
        <w:t xml:space="preserve">they could imagine may be possible </w:t>
      </w:r>
      <w:r w:rsidR="00C248D9">
        <w:t xml:space="preserve">for the library (2 scenarios x 10 minutes x 3 people = </w:t>
      </w:r>
      <w:r w:rsidR="006160F8">
        <w:t>60 minutes</w:t>
      </w:r>
      <w:r w:rsidR="00C248D9">
        <w:t>)</w:t>
      </w:r>
      <w:r w:rsidR="009578AD">
        <w:t>.</w:t>
      </w:r>
    </w:p>
    <w:p w:rsidR="006160F8" w:rsidRDefault="00C248D9" w:rsidP="00BD63CA">
      <w:pPr>
        <w:pStyle w:val="ListParagraph"/>
        <w:numPr>
          <w:ilvl w:val="0"/>
          <w:numId w:val="25"/>
        </w:numPr>
        <w:spacing w:before="200"/>
      </w:pPr>
      <w:r>
        <w:t xml:space="preserve">The first member of the triad shares with her two colleagues </w:t>
      </w:r>
      <w:r w:rsidR="006160F8">
        <w:t>a</w:t>
      </w:r>
      <w:r>
        <w:t xml:space="preserve"> scenario </w:t>
      </w:r>
      <w:r w:rsidR="00E726CD">
        <w:t xml:space="preserve">vignette </w:t>
      </w:r>
      <w:r>
        <w:t xml:space="preserve">she chose </w:t>
      </w:r>
      <w:r w:rsidR="00E726CD">
        <w:t xml:space="preserve">from the ACRL report </w:t>
      </w:r>
      <w:r>
        <w:t>and summarizes the related evidence she gathered. Those listening should restrain themselves from discussing, but may take notes of anything that piques their interest and any connections/thoughts that form while listening.</w:t>
      </w:r>
    </w:p>
    <w:p w:rsidR="006160F8" w:rsidRDefault="006160F8" w:rsidP="00BD63CA">
      <w:pPr>
        <w:pStyle w:val="ListParagraph"/>
        <w:numPr>
          <w:ilvl w:val="0"/>
          <w:numId w:val="25"/>
        </w:numPr>
        <w:spacing w:before="200"/>
      </w:pPr>
      <w:r>
        <w:t>The first</w:t>
      </w:r>
      <w:r w:rsidR="00C248D9">
        <w:t xml:space="preserve"> member </w:t>
      </w:r>
      <w:r>
        <w:t xml:space="preserve">next shares </w:t>
      </w:r>
      <w:r w:rsidR="00C248D9">
        <w:t>the full</w:t>
      </w:r>
      <w:r w:rsidR="00E726CD">
        <w:t>, rich</w:t>
      </w:r>
      <w:r w:rsidR="00C248D9">
        <w:t xml:space="preserve"> scenario she </w:t>
      </w:r>
      <w:r w:rsidR="00AF72AA">
        <w:t>invented</w:t>
      </w:r>
      <w:r w:rsidR="00C248D9">
        <w:t xml:space="preserve">. </w:t>
      </w:r>
      <w:r w:rsidR="00B83763">
        <w:t xml:space="preserve">Those listening </w:t>
      </w:r>
      <w:r w:rsidR="00E726CD">
        <w:t xml:space="preserve">should </w:t>
      </w:r>
      <w:r w:rsidR="00B83763">
        <w:t xml:space="preserve">not critique and </w:t>
      </w:r>
      <w:r>
        <w:t>may not</w:t>
      </w:r>
      <w:r w:rsidR="00B83763">
        <w:t xml:space="preserve"> make evaluative comments of any type</w:t>
      </w:r>
      <w:r w:rsidR="00385E36">
        <w:t xml:space="preserve"> (even supportive ones)</w:t>
      </w:r>
      <w:r w:rsidR="00B83763">
        <w:t xml:space="preserve">. Only two questions </w:t>
      </w:r>
      <w:r w:rsidR="00385E36">
        <w:t xml:space="preserve">are </w:t>
      </w:r>
      <w:r w:rsidR="00B83763">
        <w:t xml:space="preserve">allowed: “Why </w:t>
      </w:r>
      <w:r w:rsidR="009F73E1">
        <w:t xml:space="preserve">does </w:t>
      </w:r>
      <w:r w:rsidR="00B83763">
        <w:t xml:space="preserve">this happen?” and “What happens next?” </w:t>
      </w:r>
      <w:r w:rsidR="00C248D9">
        <w:t xml:space="preserve">These questions </w:t>
      </w:r>
      <w:r w:rsidR="00AF72AA">
        <w:t xml:space="preserve">speak to </w:t>
      </w:r>
      <w:r w:rsidR="00C248D9">
        <w:t>the characteristic of internal consistency</w:t>
      </w:r>
      <w:r w:rsidR="0020043A">
        <w:t>. If the presenter can’t answer, the group should move on</w:t>
      </w:r>
      <w:r w:rsidR="000D009A">
        <w:t>.</w:t>
      </w:r>
      <w:r w:rsidR="000D009A">
        <w:rPr>
          <w:rStyle w:val="EndnoteReference"/>
        </w:rPr>
        <w:endnoteReference w:id="2"/>
      </w:r>
    </w:p>
    <w:p w:rsidR="006160F8" w:rsidRDefault="00C248D9" w:rsidP="00BD63CA">
      <w:pPr>
        <w:pStyle w:val="ListParagraph"/>
        <w:numPr>
          <w:ilvl w:val="0"/>
          <w:numId w:val="25"/>
        </w:numPr>
        <w:spacing w:before="200"/>
      </w:pPr>
      <w:r>
        <w:t>Finally, after each scenario is presented, the triad discusses together possible implications for the library</w:t>
      </w:r>
      <w:r w:rsidR="00E726CD">
        <w:t>, with one member of the triad recording these</w:t>
      </w:r>
      <w:r>
        <w:t>. Again, the goal is to aim for wide, divergen</w:t>
      </w:r>
      <w:r w:rsidR="006160F8">
        <w:t>t</w:t>
      </w:r>
      <w:r w:rsidR="00E726CD">
        <w:t xml:space="preserve"> thinking so restrain judgment.</w:t>
      </w:r>
    </w:p>
    <w:p w:rsidR="006160F8" w:rsidRDefault="006160F8" w:rsidP="00BD63CA">
      <w:pPr>
        <w:pStyle w:val="ListParagraph"/>
        <w:numPr>
          <w:ilvl w:val="0"/>
          <w:numId w:val="25"/>
        </w:numPr>
        <w:spacing w:before="200"/>
      </w:pPr>
      <w:r>
        <w:t xml:space="preserve">The round continues with member 2 and member 3 until all </w:t>
      </w:r>
      <w:r w:rsidR="00F15736">
        <w:t>six</w:t>
      </w:r>
      <w:r>
        <w:t xml:space="preserve"> scenarios have been shared.</w:t>
      </w:r>
    </w:p>
    <w:p w:rsidR="00BD63CA" w:rsidRDefault="00806B4B" w:rsidP="009578AD">
      <w:pPr>
        <w:spacing w:before="200"/>
      </w:pPr>
      <w:r>
        <w:t>The facilitator</w:t>
      </w:r>
      <w:r w:rsidR="009578AD">
        <w:t xml:space="preserve"> should float throughout the room during the small </w:t>
      </w:r>
      <w:r>
        <w:t xml:space="preserve">group </w:t>
      </w:r>
      <w:r w:rsidR="009578AD">
        <w:t xml:space="preserve">exercise, clarifying instructions if needed. </w:t>
      </w:r>
      <w:r>
        <w:t xml:space="preserve">She </w:t>
      </w:r>
      <w:r w:rsidR="009578AD">
        <w:t xml:space="preserve">should </w:t>
      </w:r>
      <w:r w:rsidR="00091DED">
        <w:t>support</w:t>
      </w:r>
      <w:r w:rsidR="00D11CF8">
        <w:t xml:space="preserve"> the group with time keeping</w:t>
      </w:r>
      <w:r w:rsidR="00091DED">
        <w:t xml:space="preserve">, giving </w:t>
      </w:r>
      <w:r w:rsidR="009578AD">
        <w:t>a heads up a few minutes before each 20 minute segment is about to end. Remind triads that shortly they will need to</w:t>
      </w:r>
      <w:r>
        <w:t xml:space="preserve"> </w:t>
      </w:r>
      <w:r w:rsidR="009578AD">
        <w:t xml:space="preserve">move on to the next member or to the report out </w:t>
      </w:r>
      <w:r>
        <w:t xml:space="preserve">and debrief </w:t>
      </w:r>
      <w:r w:rsidR="009578AD">
        <w:t>phase.</w:t>
      </w:r>
    </w:p>
    <w:p w:rsidR="00B46F76" w:rsidRPr="00C61F4C" w:rsidRDefault="00BD63CA" w:rsidP="00BD63CA">
      <w:pPr>
        <w:pStyle w:val="ListParagraph"/>
        <w:spacing w:before="200"/>
        <w:ind w:left="0"/>
      </w:pPr>
      <w:r>
        <w:rPr>
          <w:i/>
        </w:rPr>
        <w:t>Report out and</w:t>
      </w:r>
      <w:r w:rsidRPr="00BD63CA">
        <w:rPr>
          <w:i/>
        </w:rPr>
        <w:t xml:space="preserve"> debrief.</w:t>
      </w:r>
      <w:r>
        <w:t xml:space="preserve"> </w:t>
      </w:r>
      <w:r w:rsidR="006160F8">
        <w:t xml:space="preserve">At the end of the complete round, each triad reports out to the large group on possible implications they envisioned for the library, </w:t>
      </w:r>
      <w:r w:rsidR="000F026C">
        <w:t xml:space="preserve">reflects on </w:t>
      </w:r>
      <w:r w:rsidR="006160F8">
        <w:t>decisions the library would need to make now</w:t>
      </w:r>
      <w:r w:rsidR="000F026C">
        <w:t>,</w:t>
      </w:r>
      <w:r w:rsidR="006160F8">
        <w:t xml:space="preserve"> and </w:t>
      </w:r>
      <w:r w:rsidR="000F026C">
        <w:t xml:space="preserve">considers </w:t>
      </w:r>
      <w:r w:rsidR="006160F8">
        <w:t xml:space="preserve">others on campus </w:t>
      </w:r>
      <w:r w:rsidR="000F026C">
        <w:t>who</w:t>
      </w:r>
      <w:r w:rsidR="006160F8">
        <w:t xml:space="preserve"> </w:t>
      </w:r>
      <w:r w:rsidR="000F026C">
        <w:t>would be</w:t>
      </w:r>
      <w:r w:rsidR="006160F8">
        <w:t xml:space="preserve"> affected. The facilitator will guide this large </w:t>
      </w:r>
      <w:r w:rsidR="006160F8" w:rsidRPr="00C61F4C">
        <w:t xml:space="preserve">group discussion and help to </w:t>
      </w:r>
      <w:r w:rsidR="006E5926" w:rsidRPr="00C61F4C">
        <w:t>synthesize where appropriate (</w:t>
      </w:r>
      <w:r w:rsidRPr="00C61F4C">
        <w:t>35</w:t>
      </w:r>
      <w:r w:rsidR="006160F8" w:rsidRPr="00C61F4C">
        <w:t xml:space="preserve"> minutes). </w:t>
      </w:r>
    </w:p>
    <w:p w:rsidR="00334799" w:rsidRDefault="006160F8" w:rsidP="00C61F4C">
      <w:r w:rsidRPr="00C61F4C">
        <w:t xml:space="preserve">During this time, the goal is for the large group </w:t>
      </w:r>
      <w:r w:rsidR="0083028C" w:rsidRPr="00C61F4C">
        <w:t xml:space="preserve">to </w:t>
      </w:r>
      <w:r w:rsidRPr="00C61F4C">
        <w:t xml:space="preserve">hear </w:t>
      </w:r>
      <w:r w:rsidR="0083028C" w:rsidRPr="00C61F4C">
        <w:t xml:space="preserve">each </w:t>
      </w:r>
      <w:r w:rsidR="00742185" w:rsidRPr="00C61F4C">
        <w:t>other’s</w:t>
      </w:r>
      <w:r w:rsidR="00785D24" w:rsidRPr="00C61F4C">
        <w:t xml:space="preserve"> thinking </w:t>
      </w:r>
      <w:r w:rsidRPr="00C61F4C">
        <w:t xml:space="preserve">and, together, </w:t>
      </w:r>
      <w:r w:rsidR="00742185" w:rsidRPr="00C61F4C">
        <w:t xml:space="preserve">to </w:t>
      </w:r>
      <w:r w:rsidR="00785D24" w:rsidRPr="00C61F4C">
        <w:t>consider w</w:t>
      </w:r>
      <w:r w:rsidRPr="00C61F4C">
        <w:t>hat decisions the library would have to make now to prepare for that type of a future, were it to occur. There is likely to be overlap on topics and scenarios chosen, so the conversation may become les</w:t>
      </w:r>
      <w:r w:rsidR="00334799">
        <w:t>s round robin and more organic.</w:t>
      </w:r>
    </w:p>
    <w:p w:rsidR="006160F8" w:rsidRDefault="006160F8" w:rsidP="00C61F4C">
      <w:r w:rsidRPr="00C61F4C">
        <w:t>To help guide the discussion, the facilitator may wish to ask</w:t>
      </w:r>
      <w:r w:rsidR="00C03A80" w:rsidRPr="00C61F4C">
        <w:t xml:space="preserve"> </w:t>
      </w:r>
      <w:r w:rsidR="00F81C8A" w:rsidRPr="00C61F4C">
        <w:t xml:space="preserve">prompting </w:t>
      </w:r>
      <w:r w:rsidR="00C03A80" w:rsidRPr="00C61F4C">
        <w:t>questions such as</w:t>
      </w:r>
      <w:r w:rsidR="000802F9" w:rsidRPr="00C61F4C">
        <w:t xml:space="preserve">: </w:t>
      </w:r>
      <w:r w:rsidR="00C03A80" w:rsidRPr="00C61F4C">
        <w:t xml:space="preserve">Is this a preferred future we want to work towards or are there risks </w:t>
      </w:r>
      <w:r w:rsidR="00512D37" w:rsidRPr="00C61F4C">
        <w:t xml:space="preserve">here we ought to work to </w:t>
      </w:r>
      <w:r w:rsidR="00C03A80" w:rsidRPr="00C61F4C">
        <w:t xml:space="preserve">mitigate? What action could we take now to do so? </w:t>
      </w:r>
      <w:r w:rsidR="00C248D9" w:rsidRPr="00C61F4C">
        <w:t xml:space="preserve">Who else on campus would be affected? What is </w:t>
      </w:r>
      <w:r w:rsidRPr="00C61F4C">
        <w:t>our</w:t>
      </w:r>
      <w:r w:rsidR="00C248D9" w:rsidRPr="00C61F4C">
        <w:t xml:space="preserve"> relationship </w:t>
      </w:r>
      <w:r w:rsidRPr="00C61F4C">
        <w:t xml:space="preserve">like with that group now? </w:t>
      </w:r>
      <w:r w:rsidR="00C03A80" w:rsidRPr="00C61F4C">
        <w:t xml:space="preserve">In what ways </w:t>
      </w:r>
      <w:r w:rsidR="000A1C74" w:rsidRPr="00C61F4C">
        <w:t>c</w:t>
      </w:r>
      <w:r w:rsidR="00C03A80" w:rsidRPr="00C61F4C">
        <w:t xml:space="preserve">ould that relationship be </w:t>
      </w:r>
      <w:r w:rsidR="000A1C74" w:rsidRPr="00C61F4C">
        <w:t>strengthen</w:t>
      </w:r>
      <w:r w:rsidR="00C03A80" w:rsidRPr="00C61F4C">
        <w:t>ed?</w:t>
      </w:r>
      <w:r w:rsidR="00C61F4C" w:rsidRPr="00C61F4C">
        <w:t xml:space="preserve"> (For other potential question</w:t>
      </w:r>
      <w:r w:rsidR="00DB4E6F">
        <w:t>s</w:t>
      </w:r>
      <w:r w:rsidR="00C61F4C" w:rsidRPr="00C61F4C">
        <w:t xml:space="preserve"> to prompt discussion or encourage participants to probe more deeply, see those</w:t>
      </w:r>
      <w:r w:rsidR="00C61F4C">
        <w:t xml:space="preserve"> suggested in the</w:t>
      </w:r>
      <w:r w:rsidR="00C36D9C">
        <w:t xml:space="preserve"> report’s</w:t>
      </w:r>
      <w:r w:rsidR="004619D8">
        <w:t xml:space="preserve"> </w:t>
      </w:r>
      <w:r w:rsidR="004619D8">
        <w:rPr>
          <w:b/>
          <w:bCs/>
        </w:rPr>
        <w:t>Analysis of Findings and Discussion).</w:t>
      </w:r>
    </w:p>
    <w:p w:rsidR="00FA1EDB" w:rsidRDefault="00BD63CA" w:rsidP="00BD63CA">
      <w:pPr>
        <w:pStyle w:val="ListParagraph"/>
        <w:spacing w:before="200"/>
        <w:ind w:left="0"/>
      </w:pPr>
      <w:r w:rsidRPr="00BD63CA">
        <w:rPr>
          <w:i/>
        </w:rPr>
        <w:t>Next Steps.</w:t>
      </w:r>
      <w:r>
        <w:t xml:space="preserve"> </w:t>
      </w:r>
      <w:r w:rsidR="0083028C">
        <w:t>Together the group should consider possible next steps</w:t>
      </w:r>
      <w:r w:rsidR="0056319C">
        <w:t>. Is your library engaged in strategic planning? Can this help feed into that process? Is your campus making strategic decisions now? How is the library represented? (15 minutes).</w:t>
      </w:r>
    </w:p>
    <w:p w:rsidR="00FA1EDB" w:rsidRDefault="00FA1EDB">
      <w:pPr>
        <w:spacing w:after="0" w:line="240" w:lineRule="auto"/>
      </w:pPr>
      <w:r>
        <w:br w:type="page"/>
      </w:r>
    </w:p>
    <w:sectPr w:rsidR="00FA1EDB" w:rsidSect="00B52F4E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25" w:rsidRDefault="00B64725" w:rsidP="007E2B7E">
      <w:r>
        <w:separator/>
      </w:r>
    </w:p>
  </w:endnote>
  <w:endnote w:type="continuationSeparator" w:id="0">
    <w:p w:rsidR="00B64725" w:rsidRDefault="00B64725" w:rsidP="007E2B7E">
      <w:r>
        <w:continuationSeparator/>
      </w:r>
    </w:p>
  </w:endnote>
  <w:endnote w:id="1">
    <w:p w:rsidR="00B64725" w:rsidRDefault="00B64725" w:rsidP="006B46CC">
      <w:pPr>
        <w:pStyle w:val="EndnoteText"/>
        <w:spacing w:before="120"/>
      </w:pPr>
      <w:r>
        <w:rPr>
          <w:rStyle w:val="EndnoteReference"/>
        </w:rPr>
        <w:endnoteRef/>
      </w:r>
      <w:r>
        <w:t xml:space="preserve"> Appendix C is available as an editable document so that you may customize this activity for use in your library. For example, you may wish to create a half-day workshop and integrate some of the prework into the meting itself. You may also wish to create a worksheet for participants to use during the meeting. Visit the ACRL Web site </w:t>
      </w:r>
      <w:hyperlink r:id="rId1" w:history="1">
        <w:r w:rsidRPr="008A3F49">
          <w:rPr>
            <w:rStyle w:val="Hyperlink"/>
            <w:color w:val="904838"/>
          </w:rPr>
          <w:t>http://www.ala.org/ala/mgrps/divs/acrl/issues/value/futures.cfm</w:t>
        </w:r>
      </w:hyperlink>
      <w:r>
        <w:t>.</w:t>
      </w:r>
    </w:p>
  </w:endnote>
  <w:endnote w:id="2">
    <w:p w:rsidR="00B64725" w:rsidRDefault="00B64725" w:rsidP="004E1592">
      <w:pPr>
        <w:pStyle w:val="EndnoteText"/>
        <w:spacing w:before="120"/>
      </w:pPr>
      <w:r>
        <w:rPr>
          <w:rStyle w:val="EndnoteReference"/>
        </w:rPr>
        <w:endnoteRef/>
      </w:r>
      <w:r>
        <w:t xml:space="preserve"> Van der Heijden</w:t>
      </w:r>
      <w:r w:rsidRPr="000D009A">
        <w:t xml:space="preserve"> </w:t>
      </w:r>
      <w:r>
        <w:t>(</w:t>
      </w:r>
      <w:r w:rsidRPr="000D009A">
        <w:t>1996, p. 199 and 222)</w:t>
      </w:r>
      <w:r>
        <w:t xml:space="preserve"> reported that </w:t>
      </w:r>
      <w:r w:rsidRPr="000D009A">
        <w:t>Adam Kahane used</w:t>
      </w:r>
      <w:r>
        <w:t xml:space="preserve"> these techniques of</w:t>
      </w:r>
      <w:r w:rsidRPr="000D009A">
        <w:t xml:space="preserve"> restraining evaluation and asking </w:t>
      </w:r>
      <w:r>
        <w:t xml:space="preserve">only </w:t>
      </w:r>
      <w:r w:rsidRPr="000D009A">
        <w:t>two simple questions</w:t>
      </w:r>
      <w:r>
        <w:t xml:space="preserve"> when working in a charged environment</w:t>
      </w:r>
      <w:r w:rsidRPr="000D009A">
        <w:t xml:space="preserve"> with a </w:t>
      </w:r>
      <w:r>
        <w:t xml:space="preserve">diverse </w:t>
      </w:r>
      <w:r w:rsidRPr="000D009A">
        <w:t>group of South Africa</w:t>
      </w:r>
      <w:r>
        <w:t xml:space="preserve">n </w:t>
      </w:r>
      <w:r w:rsidRPr="000D009A">
        <w:t>political leaders</w:t>
      </w:r>
      <w:r>
        <w:t xml:space="preserve"> post apartheid</w:t>
      </w:r>
      <w:r w:rsidRPr="000D009A">
        <w:t>.</w:t>
      </w:r>
    </w:p>
    <w:p w:rsidR="000B46CC" w:rsidRPr="000D009A" w:rsidRDefault="000B46CC" w:rsidP="004E1592">
      <w:pPr>
        <w:pStyle w:val="EndnoteText"/>
        <w:spacing w:before="1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5" w:rsidRPr="000C5371" w:rsidRDefault="00B64725" w:rsidP="004A7DB7">
    <w:pPr>
      <w:pStyle w:val="Footer"/>
      <w:pBdr>
        <w:top w:val="single" w:sz="4" w:space="1" w:color="auto"/>
      </w:pBdr>
    </w:pPr>
    <w:r w:rsidRPr="000C5371">
      <w:t xml:space="preserve">Page </w:t>
    </w:r>
    <w:fldSimple w:instr=" PAGE   \* MERGEFORMAT ">
      <w:r w:rsidR="004619D8">
        <w:rPr>
          <w:noProof/>
        </w:rPr>
        <w:t>2</w:t>
      </w:r>
    </w:fldSimple>
    <w:r>
      <w:t xml:space="preserve">                                                                  </w:t>
    </w:r>
    <w:hyperlink r:id="rId1" w:history="1">
      <w:r w:rsidRPr="003D20DE">
        <w:rPr>
          <w:rStyle w:val="Hyperlink"/>
          <w:color w:val="904838"/>
          <w:sz w:val="20"/>
          <w:szCs w:val="20"/>
        </w:rPr>
        <w:t>http://www.ala.org/ala/mgrps/divs/acrl/issues/value/futures.cfm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CC" w:rsidRDefault="000B46CC" w:rsidP="000B46CC">
    <w:r>
      <w:t xml:space="preserve">ACRL is a division of the American Library Association ©2010 American Library Association. This work is issued under a Creative Commons Attribution-Noncommercial-Share Alike 3.0 United States License. </w:t>
    </w:r>
    <w:hyperlink r:id="rId1" w:history="1">
      <w:r>
        <w:rPr>
          <w:rStyle w:val="Hyperlink"/>
        </w:rPr>
        <w:t>http://creativecommons.org/licenses/by-nc-sa/3.0/</w:t>
      </w:r>
    </w:hyperlink>
  </w:p>
  <w:p w:rsidR="000B46CC" w:rsidRDefault="000B4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25" w:rsidRDefault="00B64725" w:rsidP="007E2B7E">
      <w:r>
        <w:separator/>
      </w:r>
    </w:p>
  </w:footnote>
  <w:footnote w:type="continuationSeparator" w:id="0">
    <w:p w:rsidR="00B64725" w:rsidRDefault="00B64725" w:rsidP="007E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5" w:rsidRPr="00285DF4" w:rsidRDefault="00B64725" w:rsidP="007E2B7E">
    <w:pPr>
      <w:pStyle w:val="Header"/>
    </w:pPr>
    <w:r w:rsidRPr="00285DF4">
      <w:t>Futures Thinking for Academic Librarians</w:t>
    </w:r>
  </w:p>
  <w:p w:rsidR="00B64725" w:rsidRDefault="00B64725" w:rsidP="007E2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2C6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E60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C2E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0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DEBC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6A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25A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0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61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131"/>
    <w:multiLevelType w:val="hybridMultilevel"/>
    <w:tmpl w:val="20942594"/>
    <w:lvl w:ilvl="0" w:tplc="E36AEA2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B7BBF"/>
    <w:multiLevelType w:val="hybridMultilevel"/>
    <w:tmpl w:val="6E86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0495"/>
    <w:multiLevelType w:val="hybridMultilevel"/>
    <w:tmpl w:val="1116FF72"/>
    <w:lvl w:ilvl="0" w:tplc="A756F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14C0B2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4DA9"/>
    <w:multiLevelType w:val="hybridMultilevel"/>
    <w:tmpl w:val="6100A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E6291"/>
    <w:multiLevelType w:val="hybridMultilevel"/>
    <w:tmpl w:val="1D7C6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6967"/>
    <w:multiLevelType w:val="hybridMultilevel"/>
    <w:tmpl w:val="ACB40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926E5"/>
    <w:multiLevelType w:val="hybridMultilevel"/>
    <w:tmpl w:val="93DE1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3203FE"/>
    <w:multiLevelType w:val="hybridMultilevel"/>
    <w:tmpl w:val="C98EF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744DC"/>
    <w:multiLevelType w:val="hybridMultilevel"/>
    <w:tmpl w:val="DB7E3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F264F"/>
    <w:multiLevelType w:val="hybridMultilevel"/>
    <w:tmpl w:val="DC5A0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981FCD"/>
    <w:multiLevelType w:val="hybridMultilevel"/>
    <w:tmpl w:val="83302AE4"/>
    <w:lvl w:ilvl="0" w:tplc="A5CE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4A8B"/>
    <w:multiLevelType w:val="hybridMultilevel"/>
    <w:tmpl w:val="D536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92FF1"/>
    <w:multiLevelType w:val="hybridMultilevel"/>
    <w:tmpl w:val="C830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3B7606"/>
    <w:multiLevelType w:val="hybridMultilevel"/>
    <w:tmpl w:val="1AEC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C7237"/>
    <w:multiLevelType w:val="hybridMultilevel"/>
    <w:tmpl w:val="D93E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20"/>
  </w:num>
  <w:num w:numId="7">
    <w:abstractNumId w:val="21"/>
  </w:num>
  <w:num w:numId="8">
    <w:abstractNumId w:val="17"/>
  </w:num>
  <w:num w:numId="9">
    <w:abstractNumId w:val="19"/>
  </w:num>
  <w:num w:numId="10">
    <w:abstractNumId w:val="16"/>
  </w:num>
  <w:num w:numId="11">
    <w:abstractNumId w:val="24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D9"/>
    <w:rsid w:val="00002A40"/>
    <w:rsid w:val="00002DF6"/>
    <w:rsid w:val="000067F6"/>
    <w:rsid w:val="0001058A"/>
    <w:rsid w:val="00017372"/>
    <w:rsid w:val="0002607A"/>
    <w:rsid w:val="00030DEA"/>
    <w:rsid w:val="0003790A"/>
    <w:rsid w:val="00043D66"/>
    <w:rsid w:val="00047FB8"/>
    <w:rsid w:val="0005235B"/>
    <w:rsid w:val="000551C7"/>
    <w:rsid w:val="00057481"/>
    <w:rsid w:val="00063CD5"/>
    <w:rsid w:val="0006652D"/>
    <w:rsid w:val="00067AA1"/>
    <w:rsid w:val="00073355"/>
    <w:rsid w:val="000758A9"/>
    <w:rsid w:val="000802F9"/>
    <w:rsid w:val="00080646"/>
    <w:rsid w:val="00083199"/>
    <w:rsid w:val="000866B5"/>
    <w:rsid w:val="00091BF5"/>
    <w:rsid w:val="00091DED"/>
    <w:rsid w:val="000A1C74"/>
    <w:rsid w:val="000A55F5"/>
    <w:rsid w:val="000B1AB9"/>
    <w:rsid w:val="000B2D00"/>
    <w:rsid w:val="000B46CC"/>
    <w:rsid w:val="000B5955"/>
    <w:rsid w:val="000B7ED8"/>
    <w:rsid w:val="000C5371"/>
    <w:rsid w:val="000C6C1C"/>
    <w:rsid w:val="000C734C"/>
    <w:rsid w:val="000D002E"/>
    <w:rsid w:val="000D009A"/>
    <w:rsid w:val="000D5A14"/>
    <w:rsid w:val="000D7BB4"/>
    <w:rsid w:val="000E7112"/>
    <w:rsid w:val="000F026C"/>
    <w:rsid w:val="000F2818"/>
    <w:rsid w:val="00100F53"/>
    <w:rsid w:val="00106FAD"/>
    <w:rsid w:val="00114B0A"/>
    <w:rsid w:val="001257FF"/>
    <w:rsid w:val="00133BE4"/>
    <w:rsid w:val="001426B4"/>
    <w:rsid w:val="00143D1D"/>
    <w:rsid w:val="00160E1D"/>
    <w:rsid w:val="00166C27"/>
    <w:rsid w:val="001673AC"/>
    <w:rsid w:val="00167BD9"/>
    <w:rsid w:val="00171785"/>
    <w:rsid w:val="00173B47"/>
    <w:rsid w:val="00173C27"/>
    <w:rsid w:val="001750AE"/>
    <w:rsid w:val="00180F6B"/>
    <w:rsid w:val="00181417"/>
    <w:rsid w:val="0018426C"/>
    <w:rsid w:val="00185545"/>
    <w:rsid w:val="00187EE3"/>
    <w:rsid w:val="00197612"/>
    <w:rsid w:val="001A78B0"/>
    <w:rsid w:val="001B4208"/>
    <w:rsid w:val="001B4B3D"/>
    <w:rsid w:val="001B667D"/>
    <w:rsid w:val="001B6C8D"/>
    <w:rsid w:val="001B78DF"/>
    <w:rsid w:val="001C0BEE"/>
    <w:rsid w:val="001D5CB9"/>
    <w:rsid w:val="001D75B0"/>
    <w:rsid w:val="001E36D6"/>
    <w:rsid w:val="001E3B9C"/>
    <w:rsid w:val="001E5781"/>
    <w:rsid w:val="001F1098"/>
    <w:rsid w:val="001F1CE8"/>
    <w:rsid w:val="0020043A"/>
    <w:rsid w:val="00206F64"/>
    <w:rsid w:val="00210A86"/>
    <w:rsid w:val="002176F2"/>
    <w:rsid w:val="00227DEC"/>
    <w:rsid w:val="00227F67"/>
    <w:rsid w:val="00232337"/>
    <w:rsid w:val="00234EF0"/>
    <w:rsid w:val="002404B8"/>
    <w:rsid w:val="00242F93"/>
    <w:rsid w:val="00243F7F"/>
    <w:rsid w:val="00261EAF"/>
    <w:rsid w:val="00267066"/>
    <w:rsid w:val="0026754E"/>
    <w:rsid w:val="00270517"/>
    <w:rsid w:val="002728BC"/>
    <w:rsid w:val="0027776F"/>
    <w:rsid w:val="002801A1"/>
    <w:rsid w:val="00281FD1"/>
    <w:rsid w:val="00282AAA"/>
    <w:rsid w:val="00283230"/>
    <w:rsid w:val="00285DF4"/>
    <w:rsid w:val="002A144C"/>
    <w:rsid w:val="002B4D26"/>
    <w:rsid w:val="002C5055"/>
    <w:rsid w:val="002D151B"/>
    <w:rsid w:val="002D77FF"/>
    <w:rsid w:val="002E031C"/>
    <w:rsid w:val="002E6616"/>
    <w:rsid w:val="002F4CDC"/>
    <w:rsid w:val="002F7B3B"/>
    <w:rsid w:val="00301110"/>
    <w:rsid w:val="00301EEE"/>
    <w:rsid w:val="0030316A"/>
    <w:rsid w:val="00303D4A"/>
    <w:rsid w:val="00304011"/>
    <w:rsid w:val="003061B2"/>
    <w:rsid w:val="00306463"/>
    <w:rsid w:val="00313E24"/>
    <w:rsid w:val="00320CAA"/>
    <w:rsid w:val="003230C0"/>
    <w:rsid w:val="003255B9"/>
    <w:rsid w:val="00334799"/>
    <w:rsid w:val="003358F5"/>
    <w:rsid w:val="00335EA1"/>
    <w:rsid w:val="0034014D"/>
    <w:rsid w:val="00341FAD"/>
    <w:rsid w:val="0035017F"/>
    <w:rsid w:val="003513BA"/>
    <w:rsid w:val="003566DB"/>
    <w:rsid w:val="00360726"/>
    <w:rsid w:val="0036135E"/>
    <w:rsid w:val="00361F3A"/>
    <w:rsid w:val="00365270"/>
    <w:rsid w:val="003728DA"/>
    <w:rsid w:val="003742C6"/>
    <w:rsid w:val="00376737"/>
    <w:rsid w:val="003837BB"/>
    <w:rsid w:val="00385E36"/>
    <w:rsid w:val="00386DCC"/>
    <w:rsid w:val="00386E7A"/>
    <w:rsid w:val="00386F9F"/>
    <w:rsid w:val="003912A7"/>
    <w:rsid w:val="003B2F1C"/>
    <w:rsid w:val="003C25C6"/>
    <w:rsid w:val="003C57C0"/>
    <w:rsid w:val="003D10C2"/>
    <w:rsid w:val="003D20DE"/>
    <w:rsid w:val="003D580E"/>
    <w:rsid w:val="003D7840"/>
    <w:rsid w:val="003D7C02"/>
    <w:rsid w:val="003E6B63"/>
    <w:rsid w:val="00414210"/>
    <w:rsid w:val="004263ED"/>
    <w:rsid w:val="004305FD"/>
    <w:rsid w:val="00433457"/>
    <w:rsid w:val="00434336"/>
    <w:rsid w:val="00435C60"/>
    <w:rsid w:val="00436369"/>
    <w:rsid w:val="0045553B"/>
    <w:rsid w:val="004619D8"/>
    <w:rsid w:val="00477623"/>
    <w:rsid w:val="00480AA7"/>
    <w:rsid w:val="00482D35"/>
    <w:rsid w:val="004839F3"/>
    <w:rsid w:val="00493D8A"/>
    <w:rsid w:val="00494348"/>
    <w:rsid w:val="00494724"/>
    <w:rsid w:val="004A1A97"/>
    <w:rsid w:val="004A3300"/>
    <w:rsid w:val="004A347A"/>
    <w:rsid w:val="004A4E46"/>
    <w:rsid w:val="004A7DB7"/>
    <w:rsid w:val="004B16BD"/>
    <w:rsid w:val="004B26D9"/>
    <w:rsid w:val="004B3BC4"/>
    <w:rsid w:val="004B4926"/>
    <w:rsid w:val="004B56BA"/>
    <w:rsid w:val="004C2A92"/>
    <w:rsid w:val="004C3BDA"/>
    <w:rsid w:val="004C55CC"/>
    <w:rsid w:val="004D241F"/>
    <w:rsid w:val="004D51F2"/>
    <w:rsid w:val="004E13CD"/>
    <w:rsid w:val="004E1592"/>
    <w:rsid w:val="004E500F"/>
    <w:rsid w:val="004E5DFA"/>
    <w:rsid w:val="004F4B8F"/>
    <w:rsid w:val="004F553E"/>
    <w:rsid w:val="004F7EE7"/>
    <w:rsid w:val="00504F1D"/>
    <w:rsid w:val="00512D37"/>
    <w:rsid w:val="0051738F"/>
    <w:rsid w:val="005177F5"/>
    <w:rsid w:val="00522103"/>
    <w:rsid w:val="00532267"/>
    <w:rsid w:val="005439B6"/>
    <w:rsid w:val="00544F99"/>
    <w:rsid w:val="00545027"/>
    <w:rsid w:val="005522F1"/>
    <w:rsid w:val="00554E66"/>
    <w:rsid w:val="00561D81"/>
    <w:rsid w:val="00562A9C"/>
    <w:rsid w:val="0056319C"/>
    <w:rsid w:val="00564BF4"/>
    <w:rsid w:val="00566E76"/>
    <w:rsid w:val="00572CC6"/>
    <w:rsid w:val="00575299"/>
    <w:rsid w:val="00575545"/>
    <w:rsid w:val="00575ECB"/>
    <w:rsid w:val="0057757F"/>
    <w:rsid w:val="00577A26"/>
    <w:rsid w:val="00577AA8"/>
    <w:rsid w:val="00577FA6"/>
    <w:rsid w:val="00584E9A"/>
    <w:rsid w:val="005858BD"/>
    <w:rsid w:val="00586205"/>
    <w:rsid w:val="00587950"/>
    <w:rsid w:val="0059251A"/>
    <w:rsid w:val="00593A21"/>
    <w:rsid w:val="00595A71"/>
    <w:rsid w:val="005960FF"/>
    <w:rsid w:val="0059646A"/>
    <w:rsid w:val="00597F0C"/>
    <w:rsid w:val="005A2836"/>
    <w:rsid w:val="005B1C9D"/>
    <w:rsid w:val="005B2318"/>
    <w:rsid w:val="005B26F9"/>
    <w:rsid w:val="005B6FDE"/>
    <w:rsid w:val="005C006B"/>
    <w:rsid w:val="005C5F9A"/>
    <w:rsid w:val="005D3D0B"/>
    <w:rsid w:val="005D5558"/>
    <w:rsid w:val="005E2830"/>
    <w:rsid w:val="005E3B94"/>
    <w:rsid w:val="005E4F57"/>
    <w:rsid w:val="005F0EAC"/>
    <w:rsid w:val="005F4721"/>
    <w:rsid w:val="005F4D12"/>
    <w:rsid w:val="00604E96"/>
    <w:rsid w:val="006054A8"/>
    <w:rsid w:val="00606897"/>
    <w:rsid w:val="00610300"/>
    <w:rsid w:val="00610713"/>
    <w:rsid w:val="00613F1C"/>
    <w:rsid w:val="0061494C"/>
    <w:rsid w:val="00615659"/>
    <w:rsid w:val="006160F8"/>
    <w:rsid w:val="00617BF3"/>
    <w:rsid w:val="00623280"/>
    <w:rsid w:val="00626941"/>
    <w:rsid w:val="006302E8"/>
    <w:rsid w:val="0063031F"/>
    <w:rsid w:val="0063053D"/>
    <w:rsid w:val="0063258B"/>
    <w:rsid w:val="00635CD7"/>
    <w:rsid w:val="0064692A"/>
    <w:rsid w:val="0065160F"/>
    <w:rsid w:val="00653A02"/>
    <w:rsid w:val="00664CBD"/>
    <w:rsid w:val="0066599F"/>
    <w:rsid w:val="00666EDF"/>
    <w:rsid w:val="00676715"/>
    <w:rsid w:val="006801B4"/>
    <w:rsid w:val="00680F7F"/>
    <w:rsid w:val="00684517"/>
    <w:rsid w:val="00685AB5"/>
    <w:rsid w:val="0068693E"/>
    <w:rsid w:val="006910ED"/>
    <w:rsid w:val="006944FD"/>
    <w:rsid w:val="006A2338"/>
    <w:rsid w:val="006A2ECA"/>
    <w:rsid w:val="006A5ED9"/>
    <w:rsid w:val="006A61EE"/>
    <w:rsid w:val="006A62A1"/>
    <w:rsid w:val="006A7BB6"/>
    <w:rsid w:val="006B1B05"/>
    <w:rsid w:val="006B46CC"/>
    <w:rsid w:val="006B7CCC"/>
    <w:rsid w:val="006C06AD"/>
    <w:rsid w:val="006C0CB1"/>
    <w:rsid w:val="006C1A80"/>
    <w:rsid w:val="006C37A1"/>
    <w:rsid w:val="006C53CC"/>
    <w:rsid w:val="006C7422"/>
    <w:rsid w:val="006D3320"/>
    <w:rsid w:val="006D5357"/>
    <w:rsid w:val="006E49D5"/>
    <w:rsid w:val="006E4A8D"/>
    <w:rsid w:val="006E4D1F"/>
    <w:rsid w:val="006E57C5"/>
    <w:rsid w:val="006E5926"/>
    <w:rsid w:val="006E73E3"/>
    <w:rsid w:val="006F5CB2"/>
    <w:rsid w:val="00700555"/>
    <w:rsid w:val="00706EE7"/>
    <w:rsid w:val="00714529"/>
    <w:rsid w:val="007204F3"/>
    <w:rsid w:val="007231C4"/>
    <w:rsid w:val="007231F4"/>
    <w:rsid w:val="00723483"/>
    <w:rsid w:val="0072636D"/>
    <w:rsid w:val="00733C8F"/>
    <w:rsid w:val="00742185"/>
    <w:rsid w:val="00746246"/>
    <w:rsid w:val="007519D7"/>
    <w:rsid w:val="00751F50"/>
    <w:rsid w:val="00754254"/>
    <w:rsid w:val="0076050D"/>
    <w:rsid w:val="00763602"/>
    <w:rsid w:val="00764DB1"/>
    <w:rsid w:val="0077157C"/>
    <w:rsid w:val="00773A8A"/>
    <w:rsid w:val="00776E86"/>
    <w:rsid w:val="00785D24"/>
    <w:rsid w:val="00786827"/>
    <w:rsid w:val="00786A22"/>
    <w:rsid w:val="00793D9F"/>
    <w:rsid w:val="0079719A"/>
    <w:rsid w:val="0079793C"/>
    <w:rsid w:val="007A13A8"/>
    <w:rsid w:val="007A1FD0"/>
    <w:rsid w:val="007A4BE1"/>
    <w:rsid w:val="007A52C1"/>
    <w:rsid w:val="007A68CF"/>
    <w:rsid w:val="007A7B32"/>
    <w:rsid w:val="007B2911"/>
    <w:rsid w:val="007B3300"/>
    <w:rsid w:val="007B6C59"/>
    <w:rsid w:val="007D1E34"/>
    <w:rsid w:val="007D69A8"/>
    <w:rsid w:val="007E0191"/>
    <w:rsid w:val="007E2B7E"/>
    <w:rsid w:val="007E3D2D"/>
    <w:rsid w:val="007E44DD"/>
    <w:rsid w:val="0080045F"/>
    <w:rsid w:val="00802DC4"/>
    <w:rsid w:val="00803694"/>
    <w:rsid w:val="00806B4B"/>
    <w:rsid w:val="00812529"/>
    <w:rsid w:val="008149BE"/>
    <w:rsid w:val="0082028C"/>
    <w:rsid w:val="0083028C"/>
    <w:rsid w:val="00836AF4"/>
    <w:rsid w:val="00836CA4"/>
    <w:rsid w:val="00845697"/>
    <w:rsid w:val="0084598F"/>
    <w:rsid w:val="008468F0"/>
    <w:rsid w:val="0085095F"/>
    <w:rsid w:val="0085096C"/>
    <w:rsid w:val="00850AFD"/>
    <w:rsid w:val="008518DB"/>
    <w:rsid w:val="00857F12"/>
    <w:rsid w:val="00860452"/>
    <w:rsid w:val="008715E5"/>
    <w:rsid w:val="00873043"/>
    <w:rsid w:val="0087598A"/>
    <w:rsid w:val="0088145A"/>
    <w:rsid w:val="0088191C"/>
    <w:rsid w:val="00886D0B"/>
    <w:rsid w:val="008874BC"/>
    <w:rsid w:val="00890784"/>
    <w:rsid w:val="0089268A"/>
    <w:rsid w:val="0089457F"/>
    <w:rsid w:val="00895527"/>
    <w:rsid w:val="008A1E79"/>
    <w:rsid w:val="008A2609"/>
    <w:rsid w:val="008A3F49"/>
    <w:rsid w:val="008A7A9D"/>
    <w:rsid w:val="008B5315"/>
    <w:rsid w:val="008C00D6"/>
    <w:rsid w:val="008C2F2A"/>
    <w:rsid w:val="008C6095"/>
    <w:rsid w:val="008C79DF"/>
    <w:rsid w:val="008D1590"/>
    <w:rsid w:val="008E1480"/>
    <w:rsid w:val="008E2714"/>
    <w:rsid w:val="008E60AC"/>
    <w:rsid w:val="008E61ED"/>
    <w:rsid w:val="008F0078"/>
    <w:rsid w:val="008F0A38"/>
    <w:rsid w:val="008F45C5"/>
    <w:rsid w:val="008F7E50"/>
    <w:rsid w:val="009045FA"/>
    <w:rsid w:val="0090460C"/>
    <w:rsid w:val="00905EDD"/>
    <w:rsid w:val="0091097E"/>
    <w:rsid w:val="009179EF"/>
    <w:rsid w:val="00921D37"/>
    <w:rsid w:val="00924553"/>
    <w:rsid w:val="00925D88"/>
    <w:rsid w:val="009260AB"/>
    <w:rsid w:val="00931A5D"/>
    <w:rsid w:val="00936E41"/>
    <w:rsid w:val="00941A04"/>
    <w:rsid w:val="00942C73"/>
    <w:rsid w:val="00954141"/>
    <w:rsid w:val="009578AD"/>
    <w:rsid w:val="00957ACA"/>
    <w:rsid w:val="00966B04"/>
    <w:rsid w:val="00971EBA"/>
    <w:rsid w:val="00974D76"/>
    <w:rsid w:val="00975AD1"/>
    <w:rsid w:val="0097675C"/>
    <w:rsid w:val="0098435A"/>
    <w:rsid w:val="00986108"/>
    <w:rsid w:val="0099041C"/>
    <w:rsid w:val="00996CA6"/>
    <w:rsid w:val="009A56E5"/>
    <w:rsid w:val="009A5C03"/>
    <w:rsid w:val="009A757A"/>
    <w:rsid w:val="009A788A"/>
    <w:rsid w:val="009B456F"/>
    <w:rsid w:val="009C3FAD"/>
    <w:rsid w:val="009C4826"/>
    <w:rsid w:val="009D2388"/>
    <w:rsid w:val="009D5ACC"/>
    <w:rsid w:val="009D5DB1"/>
    <w:rsid w:val="009E0133"/>
    <w:rsid w:val="009F02EA"/>
    <w:rsid w:val="009F3DB2"/>
    <w:rsid w:val="009F4429"/>
    <w:rsid w:val="009F72FF"/>
    <w:rsid w:val="009F73E1"/>
    <w:rsid w:val="00A00B70"/>
    <w:rsid w:val="00A13A4A"/>
    <w:rsid w:val="00A21680"/>
    <w:rsid w:val="00A27FE1"/>
    <w:rsid w:val="00A3411C"/>
    <w:rsid w:val="00A3525D"/>
    <w:rsid w:val="00A4111C"/>
    <w:rsid w:val="00A44A18"/>
    <w:rsid w:val="00A45A16"/>
    <w:rsid w:val="00A46560"/>
    <w:rsid w:val="00A50973"/>
    <w:rsid w:val="00A5405B"/>
    <w:rsid w:val="00A54314"/>
    <w:rsid w:val="00A64254"/>
    <w:rsid w:val="00A65167"/>
    <w:rsid w:val="00A65CE3"/>
    <w:rsid w:val="00A76F48"/>
    <w:rsid w:val="00A80BDE"/>
    <w:rsid w:val="00A80FAC"/>
    <w:rsid w:val="00A83FB2"/>
    <w:rsid w:val="00A90FC8"/>
    <w:rsid w:val="00A92233"/>
    <w:rsid w:val="00A93245"/>
    <w:rsid w:val="00A974F8"/>
    <w:rsid w:val="00AA10E0"/>
    <w:rsid w:val="00AA4BB4"/>
    <w:rsid w:val="00AB2456"/>
    <w:rsid w:val="00AB3092"/>
    <w:rsid w:val="00AB4431"/>
    <w:rsid w:val="00AB5027"/>
    <w:rsid w:val="00AC3A2E"/>
    <w:rsid w:val="00AC4A2A"/>
    <w:rsid w:val="00AC63EA"/>
    <w:rsid w:val="00AE3BB8"/>
    <w:rsid w:val="00AF17E7"/>
    <w:rsid w:val="00AF72AA"/>
    <w:rsid w:val="00B002E4"/>
    <w:rsid w:val="00B00DCA"/>
    <w:rsid w:val="00B1076C"/>
    <w:rsid w:val="00B14110"/>
    <w:rsid w:val="00B2352D"/>
    <w:rsid w:val="00B40CA1"/>
    <w:rsid w:val="00B46F76"/>
    <w:rsid w:val="00B5077A"/>
    <w:rsid w:val="00B52F4E"/>
    <w:rsid w:val="00B53975"/>
    <w:rsid w:val="00B56691"/>
    <w:rsid w:val="00B63D39"/>
    <w:rsid w:val="00B64725"/>
    <w:rsid w:val="00B66F5B"/>
    <w:rsid w:val="00B83763"/>
    <w:rsid w:val="00B87A49"/>
    <w:rsid w:val="00BA0A35"/>
    <w:rsid w:val="00BA0DD0"/>
    <w:rsid w:val="00BA7445"/>
    <w:rsid w:val="00BB0DAA"/>
    <w:rsid w:val="00BB6AF4"/>
    <w:rsid w:val="00BC00F7"/>
    <w:rsid w:val="00BC62C0"/>
    <w:rsid w:val="00BD63CA"/>
    <w:rsid w:val="00BD6B4D"/>
    <w:rsid w:val="00BE003A"/>
    <w:rsid w:val="00BE385C"/>
    <w:rsid w:val="00BF56DA"/>
    <w:rsid w:val="00BF79DA"/>
    <w:rsid w:val="00C03A80"/>
    <w:rsid w:val="00C03F7D"/>
    <w:rsid w:val="00C069E0"/>
    <w:rsid w:val="00C14C78"/>
    <w:rsid w:val="00C169F7"/>
    <w:rsid w:val="00C20505"/>
    <w:rsid w:val="00C20A32"/>
    <w:rsid w:val="00C248D9"/>
    <w:rsid w:val="00C252B5"/>
    <w:rsid w:val="00C33053"/>
    <w:rsid w:val="00C34951"/>
    <w:rsid w:val="00C34B5A"/>
    <w:rsid w:val="00C36D9C"/>
    <w:rsid w:val="00C5215B"/>
    <w:rsid w:val="00C52E25"/>
    <w:rsid w:val="00C560DA"/>
    <w:rsid w:val="00C56AA7"/>
    <w:rsid w:val="00C573BA"/>
    <w:rsid w:val="00C608EB"/>
    <w:rsid w:val="00C61154"/>
    <w:rsid w:val="00C61F4C"/>
    <w:rsid w:val="00C63F84"/>
    <w:rsid w:val="00C7422B"/>
    <w:rsid w:val="00C8013F"/>
    <w:rsid w:val="00C862D5"/>
    <w:rsid w:val="00C94DAD"/>
    <w:rsid w:val="00C95A74"/>
    <w:rsid w:val="00CB196B"/>
    <w:rsid w:val="00CC0B32"/>
    <w:rsid w:val="00CC41DC"/>
    <w:rsid w:val="00CC646D"/>
    <w:rsid w:val="00CD0525"/>
    <w:rsid w:val="00CD24C6"/>
    <w:rsid w:val="00CD2E73"/>
    <w:rsid w:val="00CE24EA"/>
    <w:rsid w:val="00CE5353"/>
    <w:rsid w:val="00CF11B9"/>
    <w:rsid w:val="00CF2C62"/>
    <w:rsid w:val="00CF6FF9"/>
    <w:rsid w:val="00CF7817"/>
    <w:rsid w:val="00D028A1"/>
    <w:rsid w:val="00D02DCF"/>
    <w:rsid w:val="00D034CA"/>
    <w:rsid w:val="00D0443B"/>
    <w:rsid w:val="00D11CF8"/>
    <w:rsid w:val="00D207F6"/>
    <w:rsid w:val="00D27198"/>
    <w:rsid w:val="00D35E1E"/>
    <w:rsid w:val="00D366AD"/>
    <w:rsid w:val="00D369F9"/>
    <w:rsid w:val="00D40890"/>
    <w:rsid w:val="00D4292F"/>
    <w:rsid w:val="00D444A5"/>
    <w:rsid w:val="00D44C44"/>
    <w:rsid w:val="00D73A51"/>
    <w:rsid w:val="00D75E10"/>
    <w:rsid w:val="00D76136"/>
    <w:rsid w:val="00D76F55"/>
    <w:rsid w:val="00D80302"/>
    <w:rsid w:val="00D84A13"/>
    <w:rsid w:val="00D9150C"/>
    <w:rsid w:val="00D91AE5"/>
    <w:rsid w:val="00D9381F"/>
    <w:rsid w:val="00D94A9C"/>
    <w:rsid w:val="00DA0A63"/>
    <w:rsid w:val="00DA6526"/>
    <w:rsid w:val="00DB0456"/>
    <w:rsid w:val="00DB3E71"/>
    <w:rsid w:val="00DB4E6F"/>
    <w:rsid w:val="00DC44ED"/>
    <w:rsid w:val="00DC7435"/>
    <w:rsid w:val="00DD6ECB"/>
    <w:rsid w:val="00DE1810"/>
    <w:rsid w:val="00DE2136"/>
    <w:rsid w:val="00DE4AC5"/>
    <w:rsid w:val="00DE5F86"/>
    <w:rsid w:val="00DE69FA"/>
    <w:rsid w:val="00DE6EF2"/>
    <w:rsid w:val="00DF4B1F"/>
    <w:rsid w:val="00DF6CEE"/>
    <w:rsid w:val="00E01A6F"/>
    <w:rsid w:val="00E01D5A"/>
    <w:rsid w:val="00E0573A"/>
    <w:rsid w:val="00E14A0D"/>
    <w:rsid w:val="00E20DAD"/>
    <w:rsid w:val="00E25D98"/>
    <w:rsid w:val="00E27C28"/>
    <w:rsid w:val="00E34986"/>
    <w:rsid w:val="00E36E98"/>
    <w:rsid w:val="00E445F0"/>
    <w:rsid w:val="00E459E4"/>
    <w:rsid w:val="00E5048E"/>
    <w:rsid w:val="00E602A1"/>
    <w:rsid w:val="00E62B1B"/>
    <w:rsid w:val="00E6363D"/>
    <w:rsid w:val="00E65D21"/>
    <w:rsid w:val="00E726CD"/>
    <w:rsid w:val="00E7379E"/>
    <w:rsid w:val="00E73D07"/>
    <w:rsid w:val="00E74B75"/>
    <w:rsid w:val="00E768E3"/>
    <w:rsid w:val="00E82F5C"/>
    <w:rsid w:val="00E908B7"/>
    <w:rsid w:val="00E9597B"/>
    <w:rsid w:val="00E95B8C"/>
    <w:rsid w:val="00E95D22"/>
    <w:rsid w:val="00EA091E"/>
    <w:rsid w:val="00EA0A3E"/>
    <w:rsid w:val="00EA6C81"/>
    <w:rsid w:val="00EA7D3E"/>
    <w:rsid w:val="00EC0E7A"/>
    <w:rsid w:val="00EC5C82"/>
    <w:rsid w:val="00ED5310"/>
    <w:rsid w:val="00EF78E4"/>
    <w:rsid w:val="00F009C7"/>
    <w:rsid w:val="00F05B84"/>
    <w:rsid w:val="00F12FE7"/>
    <w:rsid w:val="00F133F1"/>
    <w:rsid w:val="00F15736"/>
    <w:rsid w:val="00F22512"/>
    <w:rsid w:val="00F25C83"/>
    <w:rsid w:val="00F31C9E"/>
    <w:rsid w:val="00F427B6"/>
    <w:rsid w:val="00F430AB"/>
    <w:rsid w:val="00F46244"/>
    <w:rsid w:val="00F528A7"/>
    <w:rsid w:val="00F6147A"/>
    <w:rsid w:val="00F663C7"/>
    <w:rsid w:val="00F73F25"/>
    <w:rsid w:val="00F8040A"/>
    <w:rsid w:val="00F81C8A"/>
    <w:rsid w:val="00FA1EDB"/>
    <w:rsid w:val="00FA2997"/>
    <w:rsid w:val="00FB38F1"/>
    <w:rsid w:val="00FB5C81"/>
    <w:rsid w:val="00FB7BA6"/>
    <w:rsid w:val="00FC08DD"/>
    <w:rsid w:val="00FC5364"/>
    <w:rsid w:val="00FC7E6C"/>
    <w:rsid w:val="00FD0DAC"/>
    <w:rsid w:val="00FD242E"/>
    <w:rsid w:val="00FD29CD"/>
    <w:rsid w:val="00FD53BE"/>
    <w:rsid w:val="00FE3F36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E2B7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49"/>
    <w:pPr>
      <w:spacing w:before="480" w:after="0"/>
      <w:contextualSpacing/>
      <w:outlineLvl w:val="0"/>
    </w:pPr>
    <w:rPr>
      <w:rFonts w:ascii="Cambria" w:hAnsi="Cambria"/>
      <w:b/>
      <w:bCs/>
      <w:color w:val="9048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B7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8A9"/>
    <w:pPr>
      <w:spacing w:after="0" w:line="271" w:lineRule="auto"/>
      <w:outlineLvl w:val="2"/>
    </w:pPr>
    <w:rPr>
      <w:rFonts w:ascii="Cambria" w:hAnsi="Cambria"/>
      <w:b/>
      <w:bCs/>
      <w:color w:val="3F713F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B7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B7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B7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B7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B7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B7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D9"/>
  </w:style>
  <w:style w:type="paragraph" w:styleId="Footer">
    <w:name w:val="footer"/>
    <w:basedOn w:val="Normal"/>
    <w:link w:val="FooterChar"/>
    <w:uiPriority w:val="99"/>
    <w:unhideWhenUsed/>
    <w:rsid w:val="00C2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D9"/>
  </w:style>
  <w:style w:type="paragraph" w:styleId="BalloonText">
    <w:name w:val="Balloon Text"/>
    <w:basedOn w:val="Normal"/>
    <w:link w:val="BalloonTextChar"/>
    <w:uiPriority w:val="99"/>
    <w:semiHidden/>
    <w:unhideWhenUsed/>
    <w:rsid w:val="00C2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2B7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B7E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3F49"/>
    <w:rPr>
      <w:rFonts w:ascii="Cambria" w:hAnsi="Cambria"/>
      <w:b/>
      <w:bCs/>
      <w:color w:val="904838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7E2B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2B7E"/>
    <w:rPr>
      <w:rFonts w:ascii="Cambria" w:eastAsia="Times New Roman" w:hAnsi="Cambria" w:cs="Times New Roman"/>
      <w:b/>
      <w:b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E2B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B7E"/>
    <w:rPr>
      <w:i/>
      <w:iCs/>
    </w:rPr>
  </w:style>
  <w:style w:type="character" w:styleId="IntenseEmphasis">
    <w:name w:val="Intense Emphasis"/>
    <w:uiPriority w:val="21"/>
    <w:qFormat/>
    <w:rsid w:val="007E2B7E"/>
    <w:rPr>
      <w:b/>
      <w:bCs/>
    </w:rPr>
  </w:style>
  <w:style w:type="character" w:styleId="Emphasis">
    <w:name w:val="Emphasis"/>
    <w:uiPriority w:val="20"/>
    <w:qFormat/>
    <w:rsid w:val="007E2B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OC1">
    <w:name w:val="toc 1"/>
    <w:basedOn w:val="Normal"/>
    <w:next w:val="Normal"/>
    <w:autoRedefine/>
    <w:uiPriority w:val="39"/>
    <w:unhideWhenUsed/>
    <w:rsid w:val="00836A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6AF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6AF4"/>
    <w:rPr>
      <w:color w:val="FF8119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58A9"/>
    <w:rPr>
      <w:rFonts w:ascii="Cambria" w:hAnsi="Cambria"/>
      <w:b/>
      <w:bCs/>
      <w:color w:val="3F713F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E2B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B7E"/>
  </w:style>
  <w:style w:type="character" w:styleId="BookTitle">
    <w:name w:val="Book Title"/>
    <w:uiPriority w:val="33"/>
    <w:qFormat/>
    <w:rsid w:val="007E2B7E"/>
    <w:rPr>
      <w:i/>
      <w:iCs/>
      <w:smallCaps/>
      <w:spacing w:val="5"/>
    </w:rPr>
  </w:style>
  <w:style w:type="character" w:styleId="Strong">
    <w:name w:val="Strong"/>
    <w:uiPriority w:val="22"/>
    <w:qFormat/>
    <w:rsid w:val="007E2B7E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7E2B7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B2D00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87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7E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87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EE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B38F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61154"/>
    <w:rPr>
      <w:color w:val="44B9E8"/>
      <w:u w:val="single"/>
    </w:rPr>
  </w:style>
  <w:style w:type="paragraph" w:styleId="Caption">
    <w:name w:val="caption"/>
    <w:basedOn w:val="Normal"/>
    <w:next w:val="Normal"/>
    <w:uiPriority w:val="35"/>
    <w:qFormat/>
    <w:rsid w:val="007E2B7E"/>
    <w:rPr>
      <w:b/>
      <w:bCs/>
      <w:color w:val="21798E"/>
      <w:sz w:val="16"/>
      <w:szCs w:val="16"/>
    </w:rPr>
  </w:style>
  <w:style w:type="paragraph" w:styleId="NormalWeb">
    <w:name w:val="Normal (Web)"/>
    <w:basedOn w:val="Normal"/>
    <w:rsid w:val="00504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7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B7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B7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B7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B7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B7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B7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B7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B7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B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B7E"/>
    <w:rPr>
      <w:b/>
      <w:bCs/>
      <w:i/>
      <w:iCs/>
    </w:rPr>
  </w:style>
  <w:style w:type="character" w:styleId="SubtleEmphasis">
    <w:name w:val="Subtle Emphasis"/>
    <w:uiPriority w:val="19"/>
    <w:qFormat/>
    <w:rsid w:val="007E2B7E"/>
    <w:rPr>
      <w:i/>
      <w:iCs/>
    </w:rPr>
  </w:style>
  <w:style w:type="character" w:styleId="SubtleReference">
    <w:name w:val="Subtle Reference"/>
    <w:uiPriority w:val="31"/>
    <w:qFormat/>
    <w:rsid w:val="007E2B7E"/>
    <w:rPr>
      <w:smallCaps/>
    </w:rPr>
  </w:style>
  <w:style w:type="character" w:styleId="IntenseReference">
    <w:name w:val="Intense Reference"/>
    <w:uiPriority w:val="32"/>
    <w:qFormat/>
    <w:rsid w:val="007E2B7E"/>
    <w:rPr>
      <w:smallCaps/>
      <w:spacing w:val="5"/>
      <w:u w:val="single"/>
    </w:rPr>
  </w:style>
  <w:style w:type="paragraph" w:styleId="Revision">
    <w:name w:val="Revision"/>
    <w:hidden/>
    <w:uiPriority w:val="99"/>
    <w:semiHidden/>
    <w:rsid w:val="00E62B1B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.org/ala/mgrps/divs/acrl/issues/value/futures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.org/ala/mgrps/divs/acrl/issues/value/futures.cf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1379-5CFB-49BC-966D-8B9FEB24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Futures Thinking for Academic Librarians</vt:lpstr>
    </vt:vector>
  </TitlesOfParts>
  <Company>Association of College and Research Libraries</Company>
  <LinksUpToDate>false</LinksUpToDate>
  <CharactersWithSpaces>5280</CharactersWithSpaces>
  <SharedDoc>false</SharedDoc>
  <HLinks>
    <vt:vector size="126" baseType="variant">
      <vt:variant>
        <vt:i4>1114196</vt:i4>
      </vt:variant>
      <vt:variant>
        <vt:i4>108</vt:i4>
      </vt:variant>
      <vt:variant>
        <vt:i4>0</vt:i4>
      </vt:variant>
      <vt:variant>
        <vt:i4>5</vt:i4>
      </vt:variant>
      <vt:variant>
        <vt:lpwstr>http://www.ala.org/ala/mgrps/divs/acrl/about/whatisacrl/09survey.pdf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http://www.acrl.org/ala/mgrps/divs/acrl/issues/value/acrlguide09.pdf</vt:lpwstr>
      </vt:variant>
      <vt:variant>
        <vt:lpwstr/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_Toc263944573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_Toc263944572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_Toc263944571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_Toc263944570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_Toc263944569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_Toc263944568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_Toc263944567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_Toc263944566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_Toc263944565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_Toc263944564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_Toc263944563</vt:lpwstr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http://www.ala.org/ala/mgrps/divs/acrl/issues/value/futures.cfm</vt:lpwstr>
      </vt:variant>
      <vt:variant>
        <vt:lpwstr/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http://www.ala.org/ala/mgrps/divs/acrl/issues/value/futures.cfm</vt:lpwstr>
      </vt:variant>
      <vt:variant>
        <vt:lpwstr/>
      </vt:variant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http://www.statisticalengineering.com/bayes_thinking.htm</vt:lpwstr>
      </vt:variant>
      <vt:variant>
        <vt:lpwstr/>
      </vt:variant>
      <vt:variant>
        <vt:i4>1114135</vt:i4>
      </vt:variant>
      <vt:variant>
        <vt:i4>12</vt:i4>
      </vt:variant>
      <vt:variant>
        <vt:i4>0</vt:i4>
      </vt:variant>
      <vt:variant>
        <vt:i4>5</vt:i4>
      </vt:variant>
      <vt:variant>
        <vt:lpwstr>http://www.arl.org/rtl/plan/scenarios/index.shtml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http://www.jisc.ac.uk/news/stories/2010/01/lotf.aspx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http://www.acrl.org/ala/mgrps/divs/acrl/issues/value/acrlguide09.pdf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http://www.ala.org/ala/newspresscenter/news/pressreleases2010/january2010/researcher_acrl.cfm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http://www.ala.org/ala/mgrps/divs/acrl/issues/value_redir.cfm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 Thinking for Academic Librarians</dc:title>
  <dc:subject>Higher Education in 2025</dc:subject>
  <dc:creator>Department of Ohio State University Kara Malenfant, ACRL Scholarly Communications and Government Relations Specialist and doctoral student Antioch University Leadership and Change program</dc:creator>
  <cp:keywords/>
  <cp:lastModifiedBy>dmueller</cp:lastModifiedBy>
  <cp:revision>5</cp:revision>
  <cp:lastPrinted>2010-07-20T16:12:00Z</cp:lastPrinted>
  <dcterms:created xsi:type="dcterms:W3CDTF">2010-06-21T15:19:00Z</dcterms:created>
  <dcterms:modified xsi:type="dcterms:W3CDTF">2010-07-20T21:46:00Z</dcterms:modified>
</cp:coreProperties>
</file>